
<file path=[Content_Types].xml><?xml version="1.0" encoding="utf-8"?>
<Types xmlns="http://schemas.openxmlformats.org/package/2006/content-types">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7FA0" w:rsidRPr="002E7FA0" w:rsidRDefault="002E7FA0" w:rsidP="00D31B4C">
      <w:pPr>
        <w:widowControl w:val="0"/>
        <w:autoSpaceDE w:val="0"/>
        <w:autoSpaceDN w:val="0"/>
        <w:adjustRightInd w:val="0"/>
        <w:spacing w:after="0" w:line="240" w:lineRule="auto"/>
        <w:ind w:firstLine="540"/>
        <w:jc w:val="center"/>
        <w:rPr>
          <w:rFonts w:ascii="Times New Roman" w:hAnsi="Times New Roman" w:cs="Times New Roman"/>
          <w:b/>
          <w:sz w:val="36"/>
          <w:szCs w:val="36"/>
        </w:rPr>
      </w:pPr>
      <w:r w:rsidRPr="002E7FA0">
        <w:rPr>
          <w:rFonts w:ascii="Times New Roman" w:hAnsi="Times New Roman" w:cs="Times New Roman"/>
          <w:b/>
          <w:sz w:val="36"/>
          <w:szCs w:val="36"/>
        </w:rPr>
        <w:t>Требования к организации коммерческого учета электрической энергии</w:t>
      </w:r>
    </w:p>
    <w:p w:rsidR="002E7FA0" w:rsidRDefault="002E7FA0" w:rsidP="00D31B4C">
      <w:pPr>
        <w:widowControl w:val="0"/>
        <w:autoSpaceDE w:val="0"/>
        <w:autoSpaceDN w:val="0"/>
        <w:adjustRightInd w:val="0"/>
        <w:spacing w:after="0" w:line="240" w:lineRule="auto"/>
        <w:ind w:firstLine="540"/>
        <w:jc w:val="center"/>
        <w:rPr>
          <w:rFonts w:ascii="Times New Roman" w:hAnsi="Times New Roman" w:cs="Times New Roman"/>
          <w:sz w:val="36"/>
          <w:szCs w:val="36"/>
        </w:rPr>
      </w:pPr>
    </w:p>
    <w:p w:rsidR="00D31B4C" w:rsidRPr="00D31B4C" w:rsidRDefault="002E7FA0" w:rsidP="00D31B4C">
      <w:pPr>
        <w:widowControl w:val="0"/>
        <w:autoSpaceDE w:val="0"/>
        <w:autoSpaceDN w:val="0"/>
        <w:adjustRightInd w:val="0"/>
        <w:spacing w:after="0" w:line="240" w:lineRule="auto"/>
        <w:ind w:firstLine="540"/>
        <w:jc w:val="center"/>
        <w:rPr>
          <w:rFonts w:ascii="Times New Roman" w:hAnsi="Times New Roman" w:cs="Times New Roman"/>
          <w:sz w:val="36"/>
          <w:szCs w:val="36"/>
        </w:rPr>
      </w:pPr>
      <w:r>
        <w:rPr>
          <w:rFonts w:ascii="Times New Roman" w:hAnsi="Times New Roman" w:cs="Times New Roman"/>
          <w:sz w:val="36"/>
          <w:szCs w:val="36"/>
        </w:rPr>
        <w:t>1.</w:t>
      </w:r>
      <w:r w:rsidR="00D31B4C">
        <w:rPr>
          <w:rFonts w:ascii="Times New Roman" w:hAnsi="Times New Roman" w:cs="Times New Roman"/>
          <w:sz w:val="36"/>
          <w:szCs w:val="36"/>
        </w:rPr>
        <w:t>Т</w:t>
      </w:r>
      <w:r w:rsidR="00D31B4C" w:rsidRPr="00D31B4C">
        <w:rPr>
          <w:rFonts w:ascii="Times New Roman" w:hAnsi="Times New Roman" w:cs="Times New Roman"/>
          <w:sz w:val="36"/>
          <w:szCs w:val="36"/>
        </w:rPr>
        <w:t>ребования к местам установки приборов учета</w:t>
      </w:r>
    </w:p>
    <w:p w:rsidR="00D31B4C" w:rsidRDefault="00D31B4C" w:rsidP="00D31B4C">
      <w:pPr>
        <w:widowControl w:val="0"/>
        <w:autoSpaceDE w:val="0"/>
        <w:autoSpaceDN w:val="0"/>
        <w:adjustRightInd w:val="0"/>
        <w:spacing w:after="0" w:line="240" w:lineRule="auto"/>
        <w:ind w:firstLine="540"/>
        <w:jc w:val="both"/>
        <w:rPr>
          <w:rFonts w:ascii="Times New Roman" w:hAnsi="Times New Roman" w:cs="Times New Roman"/>
        </w:rPr>
      </w:pPr>
    </w:p>
    <w:p w:rsidR="00D31B4C" w:rsidRPr="002E7FA0" w:rsidRDefault="00D31B4C" w:rsidP="002E7FA0">
      <w:pPr>
        <w:widowControl w:val="0"/>
        <w:autoSpaceDE w:val="0"/>
        <w:autoSpaceDN w:val="0"/>
        <w:adjustRightInd w:val="0"/>
        <w:spacing w:after="0" w:line="288" w:lineRule="auto"/>
        <w:ind w:firstLine="567"/>
        <w:jc w:val="both"/>
        <w:rPr>
          <w:rFonts w:ascii="Times New Roman" w:hAnsi="Times New Roman" w:cs="Times New Roman"/>
          <w:sz w:val="28"/>
          <w:szCs w:val="28"/>
        </w:rPr>
      </w:pPr>
      <w:r w:rsidRPr="002E7FA0">
        <w:rPr>
          <w:rFonts w:ascii="Times New Roman" w:hAnsi="Times New Roman" w:cs="Times New Roman"/>
          <w:sz w:val="28"/>
          <w:szCs w:val="28"/>
        </w:rPr>
        <w:t>Определение объема потребления (производства) электрической энергии (мощности) на розничных рынках, оказанных услуг по передаче электрической энергии, а также фактических потерь электрической энергии в объектах электросетевого хозяйства осуществляется на основании данных, полученных с использованием приборов учета электрической энергии, в том числе включенных в состав измерительных комплексов, систем учета.</w:t>
      </w:r>
    </w:p>
    <w:p w:rsidR="00D31B4C" w:rsidRPr="002E7FA0" w:rsidRDefault="00D31B4C" w:rsidP="002E7FA0">
      <w:pPr>
        <w:widowControl w:val="0"/>
        <w:autoSpaceDE w:val="0"/>
        <w:autoSpaceDN w:val="0"/>
        <w:adjustRightInd w:val="0"/>
        <w:spacing w:after="0" w:line="288" w:lineRule="auto"/>
        <w:ind w:firstLine="567"/>
        <w:jc w:val="both"/>
        <w:rPr>
          <w:rFonts w:ascii="Times New Roman" w:hAnsi="Times New Roman" w:cs="Times New Roman"/>
          <w:sz w:val="28"/>
          <w:szCs w:val="28"/>
        </w:rPr>
      </w:pPr>
      <w:proofErr w:type="gramStart"/>
      <w:r w:rsidRPr="002E7FA0">
        <w:rPr>
          <w:rFonts w:ascii="Times New Roman" w:hAnsi="Times New Roman" w:cs="Times New Roman"/>
          <w:sz w:val="28"/>
          <w:szCs w:val="28"/>
        </w:rPr>
        <w:t>Приборы учета подлежат установке на границах балансовой принадлежности объектов электроэнергетики (энергопринимающих устройств) смежных субъектов розничного рынка - потребителей, производителей электрической энергии (мощности) на розничных рынках, сетевых организаций, имеющих общую границу балансовой принадлежности (далее - смежные субъекты розничного рынка), а также в иных местах, с соблюдением установленных законодательством Российской Федерации требований к местам установки приборов учета.</w:t>
      </w:r>
      <w:proofErr w:type="gramEnd"/>
      <w:r w:rsidRPr="002E7FA0">
        <w:rPr>
          <w:rFonts w:ascii="Times New Roman" w:hAnsi="Times New Roman" w:cs="Times New Roman"/>
          <w:sz w:val="28"/>
          <w:szCs w:val="28"/>
        </w:rPr>
        <w:t xml:space="preserve"> При отсутствии технической возможности установки прибора учета на границе балансовой принадлежности объектов электроэнергетики (энергопринимающих устройств) смежных субъектов розничного рынка прибор учета подлежит установке в месте, максимально приближенном к границе балансовой принадлежности, в котором имеется техническая возможность его установки. При этом по соглашению между смежными субъектами розничного рынка прибор учета, подлежащий использованию для определения объемов потребления (производства, передачи) электрической энергии одного субъекта, может быть установлен в границах объектов электроэнергетики (энергопринимающих устройств) другого смежного субъекта.</w:t>
      </w:r>
    </w:p>
    <w:p w:rsidR="00D31B4C" w:rsidRPr="002E7FA0" w:rsidRDefault="00D31B4C" w:rsidP="002E7FA0">
      <w:pPr>
        <w:widowControl w:val="0"/>
        <w:autoSpaceDE w:val="0"/>
        <w:autoSpaceDN w:val="0"/>
        <w:adjustRightInd w:val="0"/>
        <w:spacing w:after="0" w:line="288" w:lineRule="auto"/>
        <w:ind w:firstLine="567"/>
        <w:jc w:val="both"/>
        <w:rPr>
          <w:rFonts w:ascii="Times New Roman" w:hAnsi="Times New Roman" w:cs="Times New Roman"/>
          <w:sz w:val="28"/>
          <w:szCs w:val="28"/>
        </w:rPr>
      </w:pPr>
      <w:proofErr w:type="gramStart"/>
      <w:r w:rsidRPr="002E7FA0">
        <w:rPr>
          <w:rFonts w:ascii="Times New Roman" w:hAnsi="Times New Roman" w:cs="Times New Roman"/>
          <w:sz w:val="28"/>
          <w:szCs w:val="28"/>
        </w:rPr>
        <w:t>В случае если прибор учета, в том числе коллективный (</w:t>
      </w:r>
      <w:proofErr w:type="spellStart"/>
      <w:r w:rsidRPr="002E7FA0">
        <w:rPr>
          <w:rFonts w:ascii="Times New Roman" w:hAnsi="Times New Roman" w:cs="Times New Roman"/>
          <w:sz w:val="28"/>
          <w:szCs w:val="28"/>
        </w:rPr>
        <w:t>общедомовой</w:t>
      </w:r>
      <w:proofErr w:type="spellEnd"/>
      <w:r w:rsidRPr="002E7FA0">
        <w:rPr>
          <w:rFonts w:ascii="Times New Roman" w:hAnsi="Times New Roman" w:cs="Times New Roman"/>
          <w:sz w:val="28"/>
          <w:szCs w:val="28"/>
        </w:rPr>
        <w:t>) прибор учета в многоквартирном доме, расположен не на границе балансовой принадлежности объектов электроэнергетики (энергопринимающих устройств) смежных субъектов розничного рынка, то объем потребления (производства, передачи) электрической энергии, определенный на основании показаний такого прибора учета, в целях осуществления расчетов по договору подлежит корректировке на величину потерь электрической энергии, возникающих на участке сети</w:t>
      </w:r>
      <w:proofErr w:type="gramEnd"/>
      <w:r w:rsidRPr="002E7FA0">
        <w:rPr>
          <w:rFonts w:ascii="Times New Roman" w:hAnsi="Times New Roman" w:cs="Times New Roman"/>
          <w:sz w:val="28"/>
          <w:szCs w:val="28"/>
        </w:rPr>
        <w:t xml:space="preserve"> от границы балансовой принадлежности объектов электроэнергетики (энергопринимающих устройств) до места установки прибора учета. При этом расчет величины потерь осуществляется сетевой организацией в соответствии с актом уполномоченного федерального органа, регламентирующим расчет нормативов технологических потерь электрической </w:t>
      </w:r>
      <w:r w:rsidRPr="002E7FA0">
        <w:rPr>
          <w:rFonts w:ascii="Times New Roman" w:hAnsi="Times New Roman" w:cs="Times New Roman"/>
          <w:sz w:val="28"/>
          <w:szCs w:val="28"/>
        </w:rPr>
        <w:lastRenderedPageBreak/>
        <w:t xml:space="preserve">энергии при ее передаче по электрическим сетям. </w:t>
      </w:r>
      <w:proofErr w:type="gramStart"/>
      <w:r w:rsidRPr="002E7FA0">
        <w:rPr>
          <w:rFonts w:ascii="Times New Roman" w:hAnsi="Times New Roman" w:cs="Times New Roman"/>
          <w:sz w:val="28"/>
          <w:szCs w:val="28"/>
        </w:rPr>
        <w:t xml:space="preserve">Если на дату вступления в силу </w:t>
      </w:r>
      <w:r w:rsidR="000B46E9" w:rsidRPr="002E7FA0">
        <w:rPr>
          <w:rFonts w:ascii="Times New Roman" w:hAnsi="Times New Roman" w:cs="Times New Roman"/>
          <w:sz w:val="28"/>
          <w:szCs w:val="28"/>
        </w:rPr>
        <w:t>Основных положений функционирования розничных рынков электрической энергии, утвержденных постановлением Правительства РФ от 04.05.2012 №</w:t>
      </w:r>
      <w:r w:rsidR="00E238BA" w:rsidRPr="002E7FA0">
        <w:rPr>
          <w:rFonts w:ascii="Times New Roman" w:hAnsi="Times New Roman" w:cs="Times New Roman"/>
          <w:sz w:val="28"/>
          <w:szCs w:val="28"/>
        </w:rPr>
        <w:t> </w:t>
      </w:r>
      <w:r w:rsidR="000B46E9" w:rsidRPr="002E7FA0">
        <w:rPr>
          <w:rFonts w:ascii="Times New Roman" w:hAnsi="Times New Roman" w:cs="Times New Roman"/>
          <w:sz w:val="28"/>
          <w:szCs w:val="28"/>
        </w:rPr>
        <w:t>442 «О функционировании розничных рынков электрической энергии, полном и (или) частичном ограничении режима потребления электрической энергии»</w:t>
      </w:r>
      <w:r w:rsidRPr="002E7FA0">
        <w:rPr>
          <w:rFonts w:ascii="Times New Roman" w:hAnsi="Times New Roman" w:cs="Times New Roman"/>
          <w:sz w:val="28"/>
          <w:szCs w:val="28"/>
        </w:rPr>
        <w:t xml:space="preserve"> в договоре энергоснабжения (договоре купли-продажи (поставки) электрической энергии (мощности)), договоре оказания услуг по передаче электрической энергии сторонами согласована методика выполнения измерений, аттестованная в установленном порядке</w:t>
      </w:r>
      <w:proofErr w:type="gramEnd"/>
      <w:r w:rsidRPr="002E7FA0">
        <w:rPr>
          <w:rFonts w:ascii="Times New Roman" w:hAnsi="Times New Roman" w:cs="Times New Roman"/>
          <w:sz w:val="28"/>
          <w:szCs w:val="28"/>
        </w:rPr>
        <w:t>, то при расчете величины потерь используется такая методика, кроме случаев, когда одна из сторон заявила о необходимости использования указанного в настоящем пункте акта уполномоченного федерального органа. В этом случае такой акт уполномоченного федерального органа используется с первого числа месяца, следующего за месяцем, в котором одна из сторон в письменной форме направила заявление о его использовании.</w:t>
      </w:r>
    </w:p>
    <w:p w:rsidR="00F536D6" w:rsidRPr="002E7FA0" w:rsidRDefault="00F536D6" w:rsidP="002E7FA0">
      <w:pPr>
        <w:widowControl w:val="0"/>
        <w:autoSpaceDE w:val="0"/>
        <w:autoSpaceDN w:val="0"/>
        <w:adjustRightInd w:val="0"/>
        <w:spacing w:after="0" w:line="288" w:lineRule="auto"/>
        <w:ind w:firstLine="567"/>
        <w:jc w:val="both"/>
        <w:rPr>
          <w:rFonts w:ascii="Times New Roman" w:hAnsi="Times New Roman" w:cs="Times New Roman"/>
          <w:sz w:val="28"/>
          <w:szCs w:val="28"/>
        </w:rPr>
      </w:pPr>
      <w:r w:rsidRPr="002E7FA0">
        <w:rPr>
          <w:rFonts w:ascii="Times New Roman" w:hAnsi="Times New Roman" w:cs="Times New Roman"/>
          <w:sz w:val="28"/>
          <w:szCs w:val="28"/>
        </w:rPr>
        <w:t xml:space="preserve">Счетчики должны размещаться в </w:t>
      </w:r>
      <w:proofErr w:type="gramStart"/>
      <w:r w:rsidRPr="002E7FA0">
        <w:rPr>
          <w:rFonts w:ascii="Times New Roman" w:hAnsi="Times New Roman" w:cs="Times New Roman"/>
          <w:sz w:val="28"/>
          <w:szCs w:val="28"/>
        </w:rPr>
        <w:t>легко доступных</w:t>
      </w:r>
      <w:proofErr w:type="gramEnd"/>
      <w:r w:rsidRPr="002E7FA0">
        <w:rPr>
          <w:rFonts w:ascii="Times New Roman" w:hAnsi="Times New Roman" w:cs="Times New Roman"/>
          <w:sz w:val="28"/>
          <w:szCs w:val="28"/>
        </w:rPr>
        <w:t xml:space="preserve"> для обслуживания сухих помещениях, в достаточно свободном и не стесненном для работы месте с температурой в зимнее время не ниже 0 град. C.</w:t>
      </w:r>
    </w:p>
    <w:p w:rsidR="00F536D6" w:rsidRPr="002E7FA0" w:rsidRDefault="00F536D6" w:rsidP="002E7FA0">
      <w:pPr>
        <w:widowControl w:val="0"/>
        <w:autoSpaceDE w:val="0"/>
        <w:autoSpaceDN w:val="0"/>
        <w:adjustRightInd w:val="0"/>
        <w:spacing w:after="0" w:line="288" w:lineRule="auto"/>
        <w:ind w:firstLine="567"/>
        <w:jc w:val="both"/>
        <w:rPr>
          <w:rFonts w:ascii="Times New Roman" w:hAnsi="Times New Roman" w:cs="Times New Roman"/>
          <w:sz w:val="28"/>
          <w:szCs w:val="28"/>
        </w:rPr>
      </w:pPr>
      <w:r w:rsidRPr="002E7FA0">
        <w:rPr>
          <w:rFonts w:ascii="Times New Roman" w:hAnsi="Times New Roman" w:cs="Times New Roman"/>
          <w:sz w:val="28"/>
          <w:szCs w:val="28"/>
        </w:rPr>
        <w:t>Счетчики общепромышленного исполнения не разрешается устанавливать в помещениях, где по производственным условиям температура может часто превышать +40 град. C, а также в помещениях с агрессивными средами.</w:t>
      </w:r>
    </w:p>
    <w:p w:rsidR="00F536D6" w:rsidRPr="002E7FA0" w:rsidRDefault="00F536D6" w:rsidP="002E7FA0">
      <w:pPr>
        <w:widowControl w:val="0"/>
        <w:autoSpaceDE w:val="0"/>
        <w:autoSpaceDN w:val="0"/>
        <w:adjustRightInd w:val="0"/>
        <w:spacing w:after="0" w:line="288" w:lineRule="auto"/>
        <w:ind w:firstLine="567"/>
        <w:jc w:val="both"/>
        <w:rPr>
          <w:rFonts w:ascii="Times New Roman" w:hAnsi="Times New Roman" w:cs="Times New Roman"/>
          <w:sz w:val="28"/>
          <w:szCs w:val="28"/>
        </w:rPr>
      </w:pPr>
      <w:r w:rsidRPr="002E7FA0">
        <w:rPr>
          <w:rFonts w:ascii="Times New Roman" w:hAnsi="Times New Roman" w:cs="Times New Roman"/>
          <w:sz w:val="28"/>
          <w:szCs w:val="28"/>
        </w:rPr>
        <w:t>Допускается размещение счетчиков в неотапливаемых помещениях и коридорах распределительных устройств электростанций и подстанций, а также в шкафах наружной установки. При этом должно быть предусмотрено стационарное их утепление на зимнее время посредством утепляющих шкафов, колпаков с подогревом воздуха внутри них электрической лампой или нагревательным элементом для обеспечения внутри колпака положительной температуры, но не выше +20 град. C.</w:t>
      </w:r>
    </w:p>
    <w:p w:rsidR="00F536D6" w:rsidRPr="002E7FA0" w:rsidRDefault="00F536D6" w:rsidP="002E7FA0">
      <w:pPr>
        <w:widowControl w:val="0"/>
        <w:autoSpaceDE w:val="0"/>
        <w:autoSpaceDN w:val="0"/>
        <w:adjustRightInd w:val="0"/>
        <w:spacing w:after="0" w:line="288" w:lineRule="auto"/>
        <w:ind w:firstLine="567"/>
        <w:jc w:val="both"/>
        <w:rPr>
          <w:rFonts w:ascii="Times New Roman" w:hAnsi="Times New Roman" w:cs="Times New Roman"/>
          <w:sz w:val="28"/>
          <w:szCs w:val="28"/>
        </w:rPr>
      </w:pPr>
      <w:r w:rsidRPr="002E7FA0">
        <w:rPr>
          <w:rFonts w:ascii="Times New Roman" w:hAnsi="Times New Roman" w:cs="Times New Roman"/>
          <w:sz w:val="28"/>
          <w:szCs w:val="28"/>
        </w:rPr>
        <w:t>Счетчики должны устанавливаться в шкафах, камерах комплектных распределительных устройствах (КРУ, КРУН), на панелях, щитах, в нишах, на стенах, имеющих жесткую конструкцию.</w:t>
      </w:r>
    </w:p>
    <w:p w:rsidR="00F536D6" w:rsidRPr="002E7FA0" w:rsidRDefault="00F536D6" w:rsidP="002E7FA0">
      <w:pPr>
        <w:widowControl w:val="0"/>
        <w:autoSpaceDE w:val="0"/>
        <w:autoSpaceDN w:val="0"/>
        <w:adjustRightInd w:val="0"/>
        <w:spacing w:after="0" w:line="288" w:lineRule="auto"/>
        <w:ind w:firstLine="567"/>
        <w:jc w:val="both"/>
        <w:rPr>
          <w:rFonts w:ascii="Times New Roman" w:hAnsi="Times New Roman" w:cs="Times New Roman"/>
          <w:sz w:val="28"/>
          <w:szCs w:val="28"/>
        </w:rPr>
      </w:pPr>
      <w:r w:rsidRPr="002E7FA0">
        <w:rPr>
          <w:rFonts w:ascii="Times New Roman" w:hAnsi="Times New Roman" w:cs="Times New Roman"/>
          <w:sz w:val="28"/>
          <w:szCs w:val="28"/>
        </w:rPr>
        <w:t>Допускается крепление счетчиков на деревянных, пластмассовых или металлических щитках.</w:t>
      </w:r>
    </w:p>
    <w:p w:rsidR="00F536D6" w:rsidRPr="002E7FA0" w:rsidRDefault="00F536D6" w:rsidP="002E7FA0">
      <w:pPr>
        <w:widowControl w:val="0"/>
        <w:autoSpaceDE w:val="0"/>
        <w:autoSpaceDN w:val="0"/>
        <w:adjustRightInd w:val="0"/>
        <w:spacing w:after="0" w:line="288" w:lineRule="auto"/>
        <w:ind w:firstLine="567"/>
        <w:jc w:val="both"/>
        <w:rPr>
          <w:rFonts w:ascii="Times New Roman" w:hAnsi="Times New Roman" w:cs="Times New Roman"/>
          <w:sz w:val="28"/>
          <w:szCs w:val="28"/>
        </w:rPr>
      </w:pPr>
      <w:r w:rsidRPr="002E7FA0">
        <w:rPr>
          <w:rFonts w:ascii="Times New Roman" w:hAnsi="Times New Roman" w:cs="Times New Roman"/>
          <w:sz w:val="28"/>
          <w:szCs w:val="28"/>
        </w:rPr>
        <w:t>Высота от пола до коробки зажимов счетчиков должна быть в пределах 0,8 - 1,7 м. Допускается высота менее 0,8 м, но не менее 0,4 м.</w:t>
      </w:r>
    </w:p>
    <w:p w:rsidR="00F536D6" w:rsidRPr="002E7FA0" w:rsidRDefault="00F536D6" w:rsidP="002E7FA0">
      <w:pPr>
        <w:widowControl w:val="0"/>
        <w:autoSpaceDE w:val="0"/>
        <w:autoSpaceDN w:val="0"/>
        <w:adjustRightInd w:val="0"/>
        <w:spacing w:after="0" w:line="288" w:lineRule="auto"/>
        <w:ind w:firstLine="567"/>
        <w:jc w:val="both"/>
        <w:rPr>
          <w:rFonts w:ascii="Times New Roman" w:hAnsi="Times New Roman" w:cs="Times New Roman"/>
          <w:sz w:val="28"/>
          <w:szCs w:val="28"/>
        </w:rPr>
      </w:pPr>
      <w:r w:rsidRPr="002E7FA0">
        <w:rPr>
          <w:rFonts w:ascii="Times New Roman" w:hAnsi="Times New Roman" w:cs="Times New Roman"/>
          <w:sz w:val="28"/>
          <w:szCs w:val="28"/>
        </w:rPr>
        <w:t xml:space="preserve">В местах, где имеется опасность механических повреждений счетчиков или их загрязнения, или в местах, доступных для посторонних лиц (проходы, лестничные клетки и т.п.), для счетчиков должен предусматриваться запирающийся шкаф с окошком на уровне циферблата. Аналогичные шкафы должны устанавливаться также для совместного размещения счетчиков и трансформаторов тока при выполнении учета </w:t>
      </w:r>
      <w:r w:rsidRPr="002E7FA0">
        <w:rPr>
          <w:rFonts w:ascii="Times New Roman" w:hAnsi="Times New Roman" w:cs="Times New Roman"/>
          <w:sz w:val="28"/>
          <w:szCs w:val="28"/>
        </w:rPr>
        <w:lastRenderedPageBreak/>
        <w:t>на стороне низшего напряжения (на вводе у потребителей).</w:t>
      </w:r>
    </w:p>
    <w:p w:rsidR="00F536D6" w:rsidRPr="002E7FA0" w:rsidRDefault="00F536D6" w:rsidP="002E7FA0">
      <w:pPr>
        <w:widowControl w:val="0"/>
        <w:autoSpaceDE w:val="0"/>
        <w:autoSpaceDN w:val="0"/>
        <w:adjustRightInd w:val="0"/>
        <w:spacing w:after="0" w:line="288" w:lineRule="auto"/>
        <w:ind w:firstLine="567"/>
        <w:jc w:val="both"/>
        <w:rPr>
          <w:rFonts w:ascii="Times New Roman" w:hAnsi="Times New Roman" w:cs="Times New Roman"/>
          <w:sz w:val="28"/>
          <w:szCs w:val="28"/>
        </w:rPr>
      </w:pPr>
      <w:r w:rsidRPr="002E7FA0">
        <w:rPr>
          <w:rFonts w:ascii="Times New Roman" w:hAnsi="Times New Roman" w:cs="Times New Roman"/>
          <w:sz w:val="28"/>
          <w:szCs w:val="28"/>
        </w:rPr>
        <w:t>Конструкции и размеры шкафов, ниш, щитков и т.п. должны обеспечивать удобный доступ к зажимам счетчиков и трансформаторов тока. Кроме того, должна быть обеспечена возможность удобной замены счетчика и установки его с уклоном не более 1 град. Конструкция его крепления должна обеспечивать возможность установки и съема счетчика с лицевой стороны.</w:t>
      </w:r>
    </w:p>
    <w:p w:rsidR="00F536D6" w:rsidRPr="002E7FA0" w:rsidRDefault="00F536D6" w:rsidP="002E7FA0">
      <w:pPr>
        <w:widowControl w:val="0"/>
        <w:autoSpaceDE w:val="0"/>
        <w:autoSpaceDN w:val="0"/>
        <w:adjustRightInd w:val="0"/>
        <w:spacing w:after="0" w:line="288" w:lineRule="auto"/>
        <w:ind w:firstLine="567"/>
        <w:jc w:val="both"/>
        <w:rPr>
          <w:rFonts w:ascii="Times New Roman" w:hAnsi="Times New Roman" w:cs="Times New Roman"/>
          <w:sz w:val="28"/>
          <w:szCs w:val="28"/>
        </w:rPr>
      </w:pPr>
      <w:r w:rsidRPr="002E7FA0">
        <w:rPr>
          <w:rFonts w:ascii="Times New Roman" w:hAnsi="Times New Roman" w:cs="Times New Roman"/>
          <w:sz w:val="28"/>
          <w:szCs w:val="28"/>
        </w:rPr>
        <w:t>При монтаже электропроводки для присоединения счетчиков непосредственного включения около счетчиков необходимо оставлять концы проводов длиной не менее 120 мм. Изоляция или оболочка нулевого провода на длине 100 мм перед счетчиком должна иметь отличительную окраску.</w:t>
      </w:r>
    </w:p>
    <w:p w:rsidR="00F536D6" w:rsidRPr="002E7FA0" w:rsidRDefault="00F536D6" w:rsidP="002E7FA0">
      <w:pPr>
        <w:widowControl w:val="0"/>
        <w:autoSpaceDE w:val="0"/>
        <w:autoSpaceDN w:val="0"/>
        <w:adjustRightInd w:val="0"/>
        <w:spacing w:after="0" w:line="288" w:lineRule="auto"/>
        <w:ind w:firstLine="567"/>
        <w:jc w:val="both"/>
        <w:rPr>
          <w:rFonts w:ascii="Times New Roman" w:hAnsi="Times New Roman" w:cs="Times New Roman"/>
          <w:sz w:val="28"/>
          <w:szCs w:val="28"/>
        </w:rPr>
      </w:pPr>
      <w:r w:rsidRPr="002E7FA0">
        <w:rPr>
          <w:rFonts w:ascii="Times New Roman" w:hAnsi="Times New Roman" w:cs="Times New Roman"/>
          <w:sz w:val="28"/>
          <w:szCs w:val="28"/>
        </w:rPr>
        <w:t>Для безопасной установки и замены счетчиков в сетях напряжением до 380</w:t>
      </w:r>
      <w:proofErr w:type="gramStart"/>
      <w:r w:rsidRPr="002E7FA0">
        <w:rPr>
          <w:rFonts w:ascii="Times New Roman" w:hAnsi="Times New Roman" w:cs="Times New Roman"/>
          <w:sz w:val="28"/>
          <w:szCs w:val="28"/>
        </w:rPr>
        <w:t xml:space="preserve"> В</w:t>
      </w:r>
      <w:proofErr w:type="gramEnd"/>
      <w:r w:rsidRPr="002E7FA0">
        <w:rPr>
          <w:rFonts w:ascii="Times New Roman" w:hAnsi="Times New Roman" w:cs="Times New Roman"/>
          <w:sz w:val="28"/>
          <w:szCs w:val="28"/>
        </w:rPr>
        <w:t xml:space="preserve"> должна предусматриваться возможность отключения счетчика установленными до него на расстоянии не более 10 м коммутационным аппаратом или предохранителями. Снятие напряжения должно предусматриваться со всех фаз, присоединяемых к счетчику.</w:t>
      </w:r>
    </w:p>
    <w:p w:rsidR="002E7FA0" w:rsidRDefault="002E7FA0">
      <w:pPr>
        <w:rPr>
          <w:rFonts w:ascii="Times New Roman" w:hAnsi="Times New Roman" w:cs="Times New Roman"/>
          <w:sz w:val="36"/>
          <w:szCs w:val="36"/>
        </w:rPr>
      </w:pPr>
      <w:r>
        <w:rPr>
          <w:rFonts w:ascii="Times New Roman" w:hAnsi="Times New Roman" w:cs="Times New Roman"/>
          <w:sz w:val="36"/>
          <w:szCs w:val="36"/>
        </w:rPr>
        <w:br w:type="page"/>
      </w:r>
    </w:p>
    <w:p w:rsidR="002327DE" w:rsidRDefault="002E7FA0" w:rsidP="002327DE">
      <w:pPr>
        <w:widowControl w:val="0"/>
        <w:autoSpaceDE w:val="0"/>
        <w:autoSpaceDN w:val="0"/>
        <w:adjustRightInd w:val="0"/>
        <w:spacing w:after="0" w:line="240" w:lineRule="auto"/>
        <w:ind w:firstLine="540"/>
        <w:jc w:val="center"/>
        <w:rPr>
          <w:rFonts w:ascii="Times New Roman" w:hAnsi="Times New Roman" w:cs="Times New Roman"/>
          <w:sz w:val="36"/>
          <w:szCs w:val="36"/>
        </w:rPr>
      </w:pPr>
      <w:r>
        <w:rPr>
          <w:rFonts w:ascii="Times New Roman" w:hAnsi="Times New Roman" w:cs="Times New Roman"/>
          <w:sz w:val="36"/>
          <w:szCs w:val="36"/>
        </w:rPr>
        <w:lastRenderedPageBreak/>
        <w:t>2.</w:t>
      </w:r>
      <w:r w:rsidR="002327DE">
        <w:rPr>
          <w:rFonts w:ascii="Times New Roman" w:hAnsi="Times New Roman" w:cs="Times New Roman"/>
          <w:sz w:val="36"/>
          <w:szCs w:val="36"/>
        </w:rPr>
        <w:t>С</w:t>
      </w:r>
      <w:r w:rsidR="002327DE" w:rsidRPr="002327DE">
        <w:rPr>
          <w:rFonts w:ascii="Times New Roman" w:hAnsi="Times New Roman" w:cs="Times New Roman"/>
          <w:sz w:val="36"/>
          <w:szCs w:val="36"/>
        </w:rPr>
        <w:t>хемы подключения приборов учета</w:t>
      </w:r>
      <w:r w:rsidR="005E23C6">
        <w:rPr>
          <w:rFonts w:ascii="Times New Roman" w:hAnsi="Times New Roman" w:cs="Times New Roman"/>
          <w:sz w:val="36"/>
          <w:szCs w:val="36"/>
        </w:rPr>
        <w:t>*</w:t>
      </w:r>
    </w:p>
    <w:p w:rsidR="00A07FA8" w:rsidRPr="002327DE" w:rsidRDefault="00A07FA8" w:rsidP="002327DE">
      <w:pPr>
        <w:widowControl w:val="0"/>
        <w:autoSpaceDE w:val="0"/>
        <w:autoSpaceDN w:val="0"/>
        <w:adjustRightInd w:val="0"/>
        <w:spacing w:after="0" w:line="240" w:lineRule="auto"/>
        <w:ind w:firstLine="540"/>
        <w:jc w:val="center"/>
        <w:rPr>
          <w:rFonts w:ascii="Times New Roman" w:hAnsi="Times New Roman" w:cs="Times New Roman"/>
          <w:sz w:val="36"/>
          <w:szCs w:val="36"/>
        </w:rPr>
      </w:pPr>
    </w:p>
    <w:p w:rsidR="004345FF" w:rsidRDefault="004345FF" w:rsidP="00AD5FFF">
      <w:pPr>
        <w:pStyle w:val="Default"/>
        <w:ind w:firstLine="567"/>
        <w:jc w:val="both"/>
      </w:pPr>
    </w:p>
    <w:p w:rsidR="004345FF" w:rsidRPr="002E7FA0" w:rsidRDefault="00D36CC7" w:rsidP="002E7FA0">
      <w:pPr>
        <w:pStyle w:val="Default"/>
        <w:spacing w:line="288" w:lineRule="auto"/>
        <w:ind w:firstLine="567"/>
        <w:jc w:val="both"/>
        <w:rPr>
          <w:sz w:val="28"/>
          <w:szCs w:val="28"/>
        </w:rPr>
      </w:pPr>
      <w:r w:rsidRPr="002E7FA0">
        <w:rPr>
          <w:sz w:val="28"/>
          <w:szCs w:val="28"/>
        </w:rPr>
        <w:t xml:space="preserve">Схема </w:t>
      </w:r>
      <w:r w:rsidR="005E23C6" w:rsidRPr="002E7FA0">
        <w:rPr>
          <w:sz w:val="28"/>
          <w:szCs w:val="28"/>
        </w:rPr>
        <w:t>под</w:t>
      </w:r>
      <w:r w:rsidRPr="002E7FA0">
        <w:rPr>
          <w:sz w:val="28"/>
          <w:szCs w:val="28"/>
        </w:rPr>
        <w:t>ключения однофазного счетчика</w:t>
      </w:r>
      <w:r w:rsidR="00A07FA8" w:rsidRPr="002E7FA0">
        <w:rPr>
          <w:sz w:val="28"/>
          <w:szCs w:val="28"/>
        </w:rPr>
        <w:t xml:space="preserve">. </w:t>
      </w:r>
      <w:r w:rsidRPr="002E7FA0">
        <w:rPr>
          <w:sz w:val="28"/>
          <w:szCs w:val="28"/>
        </w:rPr>
        <w:t xml:space="preserve">Обязательным требованием при включении счетчика является соблюдение полярности </w:t>
      </w:r>
      <w:r w:rsidR="00A07FA8" w:rsidRPr="002E7FA0">
        <w:rPr>
          <w:sz w:val="28"/>
          <w:szCs w:val="28"/>
        </w:rPr>
        <w:t>подключения,</w:t>
      </w:r>
      <w:r w:rsidRPr="002E7FA0">
        <w:rPr>
          <w:sz w:val="28"/>
          <w:szCs w:val="28"/>
        </w:rPr>
        <w:t xml:space="preserve"> как по току, так и по напряжению.</w:t>
      </w:r>
    </w:p>
    <w:p w:rsidR="00D36CC7" w:rsidRPr="00A07FA8" w:rsidRDefault="00D36CC7" w:rsidP="00AD5FFF">
      <w:pPr>
        <w:pStyle w:val="Default"/>
        <w:ind w:firstLine="567"/>
        <w:jc w:val="both"/>
      </w:pPr>
      <w:r w:rsidRPr="00A07FA8">
        <w:t xml:space="preserve"> </w:t>
      </w:r>
    </w:p>
    <w:p w:rsidR="00D36CC7" w:rsidRDefault="00D36CC7" w:rsidP="00D36CC7">
      <w:pPr>
        <w:pStyle w:val="Default"/>
        <w:jc w:val="center"/>
        <w:rPr>
          <w:sz w:val="28"/>
          <w:szCs w:val="28"/>
        </w:rPr>
      </w:pPr>
      <w:r>
        <w:rPr>
          <w:noProof/>
          <w:sz w:val="28"/>
          <w:szCs w:val="28"/>
          <w:lang w:eastAsia="ru-RU"/>
        </w:rPr>
        <w:drawing>
          <wp:inline distT="0" distB="0" distL="0" distR="0">
            <wp:extent cx="6089947" cy="1836751"/>
            <wp:effectExtent l="19050" t="0" r="6053" b="0"/>
            <wp:docPr id="4"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t="2824" r="980" b="3985"/>
                    <a:stretch>
                      <a:fillRect/>
                    </a:stretch>
                  </pic:blipFill>
                  <pic:spPr bwMode="auto">
                    <a:xfrm>
                      <a:off x="0" y="0"/>
                      <a:ext cx="6089947" cy="1836751"/>
                    </a:xfrm>
                    <a:prstGeom prst="rect">
                      <a:avLst/>
                    </a:prstGeom>
                    <a:noFill/>
                    <a:ln w="9525">
                      <a:noFill/>
                      <a:miter lim="800000"/>
                      <a:headEnd/>
                      <a:tailEnd/>
                    </a:ln>
                  </pic:spPr>
                </pic:pic>
              </a:graphicData>
            </a:graphic>
          </wp:inline>
        </w:drawing>
      </w:r>
    </w:p>
    <w:p w:rsidR="00D36CC7" w:rsidRDefault="00D36CC7" w:rsidP="00D36CC7">
      <w:pPr>
        <w:pStyle w:val="Default"/>
        <w:jc w:val="center"/>
        <w:rPr>
          <w:sz w:val="28"/>
          <w:szCs w:val="28"/>
        </w:rPr>
      </w:pPr>
    </w:p>
    <w:p w:rsidR="004345FF" w:rsidRDefault="004345FF" w:rsidP="00AD5FFF">
      <w:pPr>
        <w:pStyle w:val="Default"/>
        <w:ind w:firstLine="567"/>
        <w:jc w:val="both"/>
      </w:pPr>
    </w:p>
    <w:p w:rsidR="004345FF" w:rsidRDefault="004345FF" w:rsidP="00AD5FFF">
      <w:pPr>
        <w:pStyle w:val="Default"/>
        <w:ind w:firstLine="567"/>
        <w:jc w:val="both"/>
      </w:pPr>
    </w:p>
    <w:p w:rsidR="00D36CC7" w:rsidRPr="002E7FA0" w:rsidRDefault="00137A61" w:rsidP="002E7FA0">
      <w:pPr>
        <w:pStyle w:val="Default"/>
        <w:spacing w:line="288" w:lineRule="auto"/>
        <w:ind w:firstLine="567"/>
        <w:jc w:val="both"/>
        <w:rPr>
          <w:sz w:val="28"/>
          <w:szCs w:val="28"/>
        </w:rPr>
      </w:pPr>
      <w:r w:rsidRPr="002E7FA0">
        <w:rPr>
          <w:sz w:val="28"/>
          <w:szCs w:val="28"/>
        </w:rPr>
        <w:t>Схема прямого (непосредственного)</w:t>
      </w:r>
      <w:r w:rsidR="005E23C6" w:rsidRPr="002E7FA0">
        <w:rPr>
          <w:sz w:val="28"/>
          <w:szCs w:val="28"/>
        </w:rPr>
        <w:t xml:space="preserve"> под</w:t>
      </w:r>
      <w:r w:rsidRPr="002E7FA0">
        <w:rPr>
          <w:sz w:val="28"/>
          <w:szCs w:val="28"/>
        </w:rPr>
        <w:t xml:space="preserve">ключения трехфазного счетчика электроэнергии. </w:t>
      </w:r>
      <w:r w:rsidR="00D36CC7" w:rsidRPr="002E7FA0">
        <w:rPr>
          <w:sz w:val="28"/>
          <w:szCs w:val="28"/>
        </w:rPr>
        <w:t xml:space="preserve">Счетчики прямого включения рассчитаны на номинальные токи 5, 10, 20, 50, 100 А. Подключение токовой цепи этих счетчиков осуществляется последовательно с сетевыми проводниками и обязательным соблюдением полярности. </w:t>
      </w:r>
    </w:p>
    <w:p w:rsidR="00D36CC7" w:rsidRDefault="00D36CC7" w:rsidP="00D36CC7">
      <w:pPr>
        <w:pStyle w:val="Default"/>
        <w:ind w:firstLine="840"/>
        <w:jc w:val="both"/>
        <w:rPr>
          <w:sz w:val="28"/>
          <w:szCs w:val="28"/>
        </w:rPr>
      </w:pPr>
    </w:p>
    <w:p w:rsidR="00137A61" w:rsidRDefault="00D36CC7" w:rsidP="00D36CC7">
      <w:pPr>
        <w:pStyle w:val="Default"/>
        <w:jc w:val="both"/>
        <w:rPr>
          <w:sz w:val="28"/>
          <w:szCs w:val="28"/>
        </w:rPr>
      </w:pPr>
      <w:r>
        <w:rPr>
          <w:noProof/>
          <w:sz w:val="28"/>
          <w:szCs w:val="28"/>
          <w:lang w:eastAsia="ru-RU"/>
        </w:rPr>
        <w:drawing>
          <wp:inline distT="0" distB="0" distL="0" distR="0">
            <wp:extent cx="6116198" cy="2377440"/>
            <wp:effectExtent l="19050" t="0" r="0" b="0"/>
            <wp:docPr id="5"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a:srcRect l="620" t="524"/>
                    <a:stretch>
                      <a:fillRect/>
                    </a:stretch>
                  </pic:blipFill>
                  <pic:spPr bwMode="auto">
                    <a:xfrm>
                      <a:off x="0" y="0"/>
                      <a:ext cx="6116198" cy="2377440"/>
                    </a:xfrm>
                    <a:prstGeom prst="rect">
                      <a:avLst/>
                    </a:prstGeom>
                    <a:noFill/>
                    <a:ln w="9525">
                      <a:noFill/>
                      <a:miter lim="800000"/>
                      <a:headEnd/>
                      <a:tailEnd/>
                    </a:ln>
                  </pic:spPr>
                </pic:pic>
              </a:graphicData>
            </a:graphic>
          </wp:inline>
        </w:drawing>
      </w:r>
    </w:p>
    <w:p w:rsidR="004345FF" w:rsidRDefault="004345FF" w:rsidP="00AD5FFF">
      <w:pPr>
        <w:pStyle w:val="Default"/>
        <w:ind w:firstLine="567"/>
        <w:jc w:val="both"/>
      </w:pPr>
    </w:p>
    <w:p w:rsidR="00D36CC7" w:rsidRPr="002E7FA0" w:rsidRDefault="00AD5FFF" w:rsidP="002E7FA0">
      <w:pPr>
        <w:pStyle w:val="Default"/>
        <w:spacing w:line="288" w:lineRule="auto"/>
        <w:ind w:firstLine="567"/>
        <w:jc w:val="both"/>
        <w:rPr>
          <w:sz w:val="28"/>
          <w:szCs w:val="28"/>
        </w:rPr>
      </w:pPr>
      <w:r w:rsidRPr="002E7FA0">
        <w:rPr>
          <w:sz w:val="28"/>
          <w:szCs w:val="28"/>
        </w:rPr>
        <w:t>С</w:t>
      </w:r>
      <w:r w:rsidR="005E23C6" w:rsidRPr="002E7FA0">
        <w:rPr>
          <w:sz w:val="28"/>
          <w:szCs w:val="28"/>
        </w:rPr>
        <w:t>хема под</w:t>
      </w:r>
      <w:r w:rsidR="00D36CC7" w:rsidRPr="002E7FA0">
        <w:rPr>
          <w:sz w:val="28"/>
          <w:szCs w:val="28"/>
        </w:rPr>
        <w:t xml:space="preserve">ключения трансформаторного счетчика. Схема выполнена десятипроводной. Токовые цепи счетчика гальванически не связаны с цепями напряжения, а разделены. Подключение каждого из измерительных элементов счетчика требует обязательного соблюдения полярности токовых цепей и соответствия их своему напряжению. </w:t>
      </w:r>
    </w:p>
    <w:p w:rsidR="00D36CC7" w:rsidRDefault="00D36CC7" w:rsidP="00D36CC7">
      <w:pPr>
        <w:pStyle w:val="Default"/>
        <w:ind w:firstLine="840"/>
        <w:jc w:val="both"/>
        <w:rPr>
          <w:color w:val="auto"/>
          <w:sz w:val="28"/>
          <w:szCs w:val="28"/>
        </w:rPr>
      </w:pPr>
    </w:p>
    <w:p w:rsidR="00D36CC7" w:rsidRDefault="00D36CC7" w:rsidP="00D36CC7">
      <w:pPr>
        <w:pStyle w:val="Default"/>
        <w:jc w:val="both"/>
        <w:rPr>
          <w:color w:val="auto"/>
          <w:sz w:val="28"/>
          <w:szCs w:val="28"/>
        </w:rPr>
      </w:pPr>
      <w:r>
        <w:rPr>
          <w:noProof/>
          <w:color w:val="auto"/>
          <w:sz w:val="28"/>
          <w:szCs w:val="28"/>
          <w:lang w:eastAsia="ru-RU"/>
        </w:rPr>
        <w:lastRenderedPageBreak/>
        <w:drawing>
          <wp:inline distT="0" distB="0" distL="0" distR="0">
            <wp:extent cx="6110537" cy="2995684"/>
            <wp:effectExtent l="19050" t="0" r="4513" b="0"/>
            <wp:docPr id="6"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srcRect t="1109" r="748" b="1552"/>
                    <a:stretch>
                      <a:fillRect/>
                    </a:stretch>
                  </pic:blipFill>
                  <pic:spPr bwMode="auto">
                    <a:xfrm>
                      <a:off x="0" y="0"/>
                      <a:ext cx="6110537" cy="2995684"/>
                    </a:xfrm>
                    <a:prstGeom prst="rect">
                      <a:avLst/>
                    </a:prstGeom>
                    <a:noFill/>
                    <a:ln w="9525">
                      <a:noFill/>
                      <a:miter lim="800000"/>
                      <a:headEnd/>
                      <a:tailEnd/>
                    </a:ln>
                  </pic:spPr>
                </pic:pic>
              </a:graphicData>
            </a:graphic>
          </wp:inline>
        </w:drawing>
      </w:r>
    </w:p>
    <w:p w:rsidR="00A23E62" w:rsidRDefault="00A23E62" w:rsidP="00D36CC7">
      <w:pPr>
        <w:pStyle w:val="Default"/>
        <w:ind w:firstLine="840"/>
        <w:jc w:val="both"/>
        <w:rPr>
          <w:color w:val="auto"/>
          <w:sz w:val="28"/>
          <w:szCs w:val="28"/>
        </w:rPr>
      </w:pPr>
    </w:p>
    <w:p w:rsidR="00D36CC7" w:rsidRPr="002E7FA0" w:rsidRDefault="004345FF" w:rsidP="002E7FA0">
      <w:pPr>
        <w:pStyle w:val="Default"/>
        <w:spacing w:line="288" w:lineRule="auto"/>
        <w:ind w:firstLine="567"/>
        <w:jc w:val="both"/>
        <w:rPr>
          <w:sz w:val="28"/>
          <w:szCs w:val="28"/>
        </w:rPr>
      </w:pPr>
      <w:r w:rsidRPr="002E7FA0">
        <w:rPr>
          <w:sz w:val="28"/>
          <w:szCs w:val="28"/>
        </w:rPr>
        <w:t xml:space="preserve">Схема трансформаторного </w:t>
      </w:r>
      <w:r w:rsidR="005E23C6" w:rsidRPr="002E7FA0">
        <w:rPr>
          <w:sz w:val="28"/>
          <w:szCs w:val="28"/>
        </w:rPr>
        <w:t>под</w:t>
      </w:r>
      <w:r w:rsidRPr="002E7FA0">
        <w:rPr>
          <w:sz w:val="28"/>
          <w:szCs w:val="28"/>
        </w:rPr>
        <w:t xml:space="preserve">ключения трехфазного счетчика (семипроводная). </w:t>
      </w:r>
      <w:r w:rsidR="00D36CC7" w:rsidRPr="002E7FA0">
        <w:rPr>
          <w:sz w:val="28"/>
          <w:szCs w:val="28"/>
        </w:rPr>
        <w:t xml:space="preserve">В этой схеме выполнено объединение цепей тока и напряжения. Совмещение цепей тока и напряжения выполняется установкой перемычек на счетчике и трансформаторе тока. </w:t>
      </w:r>
    </w:p>
    <w:p w:rsidR="00D36CC7" w:rsidRDefault="00D36CC7" w:rsidP="00D36CC7">
      <w:pPr>
        <w:pStyle w:val="Default"/>
        <w:ind w:firstLine="840"/>
        <w:jc w:val="both"/>
        <w:rPr>
          <w:color w:val="auto"/>
          <w:sz w:val="28"/>
          <w:szCs w:val="28"/>
        </w:rPr>
      </w:pPr>
    </w:p>
    <w:p w:rsidR="00D36CC7" w:rsidRDefault="00D36CC7" w:rsidP="00D36CC7">
      <w:pPr>
        <w:pStyle w:val="Default"/>
        <w:jc w:val="both"/>
        <w:rPr>
          <w:color w:val="auto"/>
          <w:sz w:val="28"/>
          <w:szCs w:val="28"/>
        </w:rPr>
        <w:sectPr w:rsidR="00D36CC7" w:rsidSect="002E7FA0">
          <w:pgSz w:w="12240" w:h="15840" w:code="1"/>
          <w:pgMar w:top="567" w:right="567" w:bottom="567" w:left="1134" w:header="720" w:footer="720" w:gutter="0"/>
          <w:cols w:space="720"/>
          <w:noEndnote/>
        </w:sectPr>
      </w:pPr>
      <w:r>
        <w:rPr>
          <w:noProof/>
          <w:color w:val="auto"/>
          <w:sz w:val="28"/>
          <w:szCs w:val="28"/>
          <w:lang w:eastAsia="ru-RU"/>
        </w:rPr>
        <w:drawing>
          <wp:inline distT="0" distB="0" distL="0" distR="0">
            <wp:extent cx="6073514" cy="3085559"/>
            <wp:effectExtent l="19050" t="0" r="3436" b="0"/>
            <wp:docPr id="7"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a:srcRect t="691" r="1329" b="967"/>
                    <a:stretch>
                      <a:fillRect/>
                    </a:stretch>
                  </pic:blipFill>
                  <pic:spPr bwMode="auto">
                    <a:xfrm>
                      <a:off x="0" y="0"/>
                      <a:ext cx="6073514" cy="3085559"/>
                    </a:xfrm>
                    <a:prstGeom prst="rect">
                      <a:avLst/>
                    </a:prstGeom>
                    <a:noFill/>
                    <a:ln w="9525">
                      <a:noFill/>
                      <a:miter lim="800000"/>
                      <a:headEnd/>
                      <a:tailEnd/>
                    </a:ln>
                  </pic:spPr>
                </pic:pic>
              </a:graphicData>
            </a:graphic>
          </wp:inline>
        </w:drawing>
      </w:r>
    </w:p>
    <w:p w:rsidR="00D36CC7" w:rsidRPr="002E7FA0" w:rsidRDefault="005E23C6" w:rsidP="002E7FA0">
      <w:pPr>
        <w:pStyle w:val="Default"/>
        <w:spacing w:line="288" w:lineRule="auto"/>
        <w:ind w:firstLine="567"/>
        <w:jc w:val="both"/>
        <w:rPr>
          <w:sz w:val="28"/>
          <w:szCs w:val="28"/>
        </w:rPr>
      </w:pPr>
      <w:r w:rsidRPr="002E7FA0">
        <w:rPr>
          <w:sz w:val="28"/>
          <w:szCs w:val="28"/>
        </w:rPr>
        <w:lastRenderedPageBreak/>
        <w:t>Схема под</w:t>
      </w:r>
      <w:r w:rsidR="00A23E62" w:rsidRPr="002E7FA0">
        <w:rPr>
          <w:sz w:val="28"/>
          <w:szCs w:val="28"/>
        </w:rPr>
        <w:t xml:space="preserve">ключения трехфазного счетчика через испытательную коробку. </w:t>
      </w:r>
      <w:r w:rsidR="00D36CC7" w:rsidRPr="002E7FA0">
        <w:rPr>
          <w:sz w:val="28"/>
          <w:szCs w:val="28"/>
        </w:rPr>
        <w:t xml:space="preserve">Испытательная коробка позволяет, не отключая проводов нагрузки, произвести замену счетчика и проверку схемы включения. </w:t>
      </w:r>
    </w:p>
    <w:p w:rsidR="00D36CC7" w:rsidRPr="00A23E62" w:rsidRDefault="00D36CC7" w:rsidP="00A23E62">
      <w:pPr>
        <w:pStyle w:val="Default"/>
        <w:ind w:firstLine="567"/>
        <w:jc w:val="both"/>
      </w:pPr>
    </w:p>
    <w:p w:rsidR="00D36CC7" w:rsidRDefault="00D36CC7" w:rsidP="00D36CC7">
      <w:pPr>
        <w:pStyle w:val="Default"/>
        <w:ind w:firstLine="840"/>
        <w:rPr>
          <w:color w:val="auto"/>
          <w:sz w:val="28"/>
          <w:szCs w:val="28"/>
        </w:rPr>
      </w:pPr>
    </w:p>
    <w:p w:rsidR="00D36CC7" w:rsidRDefault="00D36CC7" w:rsidP="002E7FA0">
      <w:pPr>
        <w:pStyle w:val="Default"/>
        <w:rPr>
          <w:color w:val="auto"/>
          <w:sz w:val="28"/>
          <w:szCs w:val="28"/>
        </w:rPr>
      </w:pPr>
      <w:r>
        <w:rPr>
          <w:noProof/>
          <w:color w:val="auto"/>
          <w:sz w:val="28"/>
          <w:szCs w:val="28"/>
          <w:lang w:eastAsia="ru-RU"/>
        </w:rPr>
        <w:drawing>
          <wp:inline distT="0" distB="0" distL="0" distR="0">
            <wp:extent cx="6074553" cy="4065549"/>
            <wp:effectExtent l="19050" t="0" r="2397" b="0"/>
            <wp:docPr id="8" name="Рисунок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a:srcRect t="639" r="1192" b="1000"/>
                    <a:stretch>
                      <a:fillRect/>
                    </a:stretch>
                  </pic:blipFill>
                  <pic:spPr bwMode="auto">
                    <a:xfrm>
                      <a:off x="0" y="0"/>
                      <a:ext cx="6074553" cy="4065549"/>
                    </a:xfrm>
                    <a:prstGeom prst="rect">
                      <a:avLst/>
                    </a:prstGeom>
                    <a:noFill/>
                    <a:ln w="9525">
                      <a:noFill/>
                      <a:miter lim="800000"/>
                      <a:headEnd/>
                      <a:tailEnd/>
                    </a:ln>
                  </pic:spPr>
                </pic:pic>
              </a:graphicData>
            </a:graphic>
          </wp:inline>
        </w:drawing>
      </w:r>
    </w:p>
    <w:p w:rsidR="002E7FA0" w:rsidRDefault="002E7FA0" w:rsidP="002E7FA0">
      <w:pPr>
        <w:pStyle w:val="Default"/>
        <w:rPr>
          <w:color w:val="auto"/>
          <w:sz w:val="28"/>
          <w:szCs w:val="28"/>
        </w:rPr>
      </w:pPr>
    </w:p>
    <w:p w:rsidR="002E7FA0" w:rsidRDefault="002E7FA0" w:rsidP="002E7FA0">
      <w:pPr>
        <w:pStyle w:val="Default"/>
        <w:rPr>
          <w:color w:val="auto"/>
          <w:sz w:val="28"/>
          <w:szCs w:val="28"/>
        </w:rPr>
      </w:pPr>
    </w:p>
    <w:p w:rsidR="002E7FA0" w:rsidRDefault="002E7FA0" w:rsidP="002E7FA0">
      <w:pPr>
        <w:pStyle w:val="Default"/>
        <w:rPr>
          <w:color w:val="auto"/>
          <w:sz w:val="28"/>
          <w:szCs w:val="28"/>
        </w:rPr>
      </w:pPr>
    </w:p>
    <w:p w:rsidR="002E7FA0" w:rsidRDefault="002E7FA0" w:rsidP="002E7FA0">
      <w:pPr>
        <w:pStyle w:val="Default"/>
        <w:rPr>
          <w:color w:val="auto"/>
          <w:sz w:val="28"/>
          <w:szCs w:val="28"/>
        </w:rPr>
      </w:pPr>
    </w:p>
    <w:p w:rsidR="002E7FA0" w:rsidRDefault="002E7FA0" w:rsidP="002E7FA0">
      <w:pPr>
        <w:pStyle w:val="Default"/>
        <w:rPr>
          <w:color w:val="auto"/>
          <w:sz w:val="28"/>
          <w:szCs w:val="28"/>
        </w:rPr>
      </w:pPr>
    </w:p>
    <w:p w:rsidR="002E7FA0" w:rsidRDefault="002E7FA0" w:rsidP="002E7FA0">
      <w:pPr>
        <w:pStyle w:val="Default"/>
        <w:rPr>
          <w:color w:val="auto"/>
          <w:sz w:val="28"/>
          <w:szCs w:val="28"/>
        </w:rPr>
      </w:pPr>
    </w:p>
    <w:p w:rsidR="00D36CC7" w:rsidRPr="002E7FA0" w:rsidRDefault="005E23C6" w:rsidP="002E7FA0">
      <w:pPr>
        <w:pStyle w:val="Default"/>
        <w:spacing w:line="288" w:lineRule="auto"/>
        <w:ind w:firstLine="567"/>
        <w:jc w:val="both"/>
        <w:rPr>
          <w:sz w:val="28"/>
          <w:szCs w:val="28"/>
        </w:rPr>
      </w:pPr>
      <w:r w:rsidRPr="002E7FA0">
        <w:rPr>
          <w:sz w:val="28"/>
          <w:szCs w:val="28"/>
        </w:rPr>
        <w:t>* - представленные выше схемы подключения электросчетчиков являются типовыми и могут отличаться от завода-изготовителя и места установки. При монтаже и подключении электросчетчика необходимо руководствоваться паспортом завода-изготовителя.</w:t>
      </w:r>
    </w:p>
    <w:p w:rsidR="002E7FA0" w:rsidRDefault="002E7FA0">
      <w:pPr>
        <w:rPr>
          <w:rFonts w:ascii="Times New Roman" w:hAnsi="Times New Roman" w:cs="Times New Roman"/>
          <w:sz w:val="36"/>
          <w:szCs w:val="36"/>
        </w:rPr>
      </w:pPr>
      <w:r>
        <w:rPr>
          <w:rFonts w:ascii="Times New Roman" w:hAnsi="Times New Roman" w:cs="Times New Roman"/>
          <w:sz w:val="36"/>
          <w:szCs w:val="36"/>
        </w:rPr>
        <w:br w:type="page"/>
      </w:r>
    </w:p>
    <w:p w:rsidR="0069485C" w:rsidRPr="002327DE" w:rsidRDefault="002E7FA0" w:rsidP="002327DE">
      <w:pPr>
        <w:widowControl w:val="0"/>
        <w:autoSpaceDE w:val="0"/>
        <w:autoSpaceDN w:val="0"/>
        <w:adjustRightInd w:val="0"/>
        <w:spacing w:after="0" w:line="240" w:lineRule="auto"/>
        <w:ind w:firstLine="540"/>
        <w:jc w:val="center"/>
        <w:rPr>
          <w:rFonts w:ascii="Times New Roman" w:hAnsi="Times New Roman" w:cs="Times New Roman"/>
          <w:sz w:val="36"/>
          <w:szCs w:val="36"/>
        </w:rPr>
      </w:pPr>
      <w:r>
        <w:rPr>
          <w:rFonts w:ascii="Times New Roman" w:hAnsi="Times New Roman" w:cs="Times New Roman"/>
          <w:sz w:val="36"/>
          <w:szCs w:val="36"/>
        </w:rPr>
        <w:lastRenderedPageBreak/>
        <w:t>3.</w:t>
      </w:r>
      <w:r w:rsidR="002327DE">
        <w:rPr>
          <w:rFonts w:ascii="Times New Roman" w:hAnsi="Times New Roman" w:cs="Times New Roman"/>
          <w:sz w:val="36"/>
          <w:szCs w:val="36"/>
        </w:rPr>
        <w:t>М</w:t>
      </w:r>
      <w:r w:rsidR="002327DE" w:rsidRPr="002327DE">
        <w:rPr>
          <w:rFonts w:ascii="Times New Roman" w:hAnsi="Times New Roman" w:cs="Times New Roman"/>
          <w:sz w:val="36"/>
          <w:szCs w:val="36"/>
        </w:rPr>
        <w:t>етрологические характеристики приборов учета</w:t>
      </w:r>
    </w:p>
    <w:p w:rsidR="0069485C" w:rsidRDefault="0069485C" w:rsidP="00830CCF">
      <w:pPr>
        <w:widowControl w:val="0"/>
        <w:autoSpaceDE w:val="0"/>
        <w:autoSpaceDN w:val="0"/>
        <w:adjustRightInd w:val="0"/>
        <w:spacing w:after="0" w:line="240" w:lineRule="auto"/>
        <w:ind w:firstLine="540"/>
        <w:jc w:val="both"/>
        <w:rPr>
          <w:rFonts w:ascii="Times New Roman" w:hAnsi="Times New Roman" w:cs="Times New Roman"/>
        </w:rPr>
      </w:pPr>
    </w:p>
    <w:p w:rsidR="00830CCF" w:rsidRPr="002E7FA0" w:rsidRDefault="00830CCF" w:rsidP="002E7FA0">
      <w:pPr>
        <w:widowControl w:val="0"/>
        <w:autoSpaceDE w:val="0"/>
        <w:autoSpaceDN w:val="0"/>
        <w:adjustRightInd w:val="0"/>
        <w:spacing w:after="0" w:line="288" w:lineRule="auto"/>
        <w:ind w:firstLine="539"/>
        <w:jc w:val="both"/>
        <w:rPr>
          <w:rFonts w:ascii="Times New Roman" w:hAnsi="Times New Roman" w:cs="Times New Roman"/>
          <w:sz w:val="28"/>
          <w:szCs w:val="28"/>
        </w:rPr>
      </w:pPr>
      <w:bookmarkStart w:id="0" w:name="Par843"/>
      <w:bookmarkEnd w:id="0"/>
      <w:proofErr w:type="gramStart"/>
      <w:r w:rsidRPr="002E7FA0">
        <w:rPr>
          <w:rFonts w:ascii="Times New Roman" w:hAnsi="Times New Roman" w:cs="Times New Roman"/>
          <w:sz w:val="28"/>
          <w:szCs w:val="28"/>
        </w:rPr>
        <w:t>Приборы учета, показания которых используются при определении объемов потребления (производства) электрической энергии (мощности) на розничных рынках, оказанных услуг по передаче электрической энергии, фактических потерь электрической энергии в объектах электросетевого хозяйства, за которые осуществляются расчеты на розничном рынке, должны соответствовать требованиям законодательства Российской Федерации об обеспечении единства измерений, в том числе по их классу точности, быть допущенными в эксплуатацию в установленном</w:t>
      </w:r>
      <w:proofErr w:type="gramEnd"/>
      <w:r w:rsidRPr="002E7FA0">
        <w:rPr>
          <w:rFonts w:ascii="Times New Roman" w:hAnsi="Times New Roman" w:cs="Times New Roman"/>
          <w:sz w:val="28"/>
          <w:szCs w:val="28"/>
        </w:rPr>
        <w:t xml:space="preserve"> </w:t>
      </w:r>
      <w:proofErr w:type="gramStart"/>
      <w:r w:rsidRPr="002E7FA0">
        <w:rPr>
          <w:rFonts w:ascii="Times New Roman" w:hAnsi="Times New Roman" w:cs="Times New Roman"/>
          <w:sz w:val="28"/>
          <w:szCs w:val="28"/>
        </w:rPr>
        <w:t>порядке</w:t>
      </w:r>
      <w:proofErr w:type="gramEnd"/>
      <w:r w:rsidRPr="002E7FA0">
        <w:rPr>
          <w:rFonts w:ascii="Times New Roman" w:hAnsi="Times New Roman" w:cs="Times New Roman"/>
          <w:sz w:val="28"/>
          <w:szCs w:val="28"/>
        </w:rPr>
        <w:t>, иметь неповрежденные контрольные пломбы и (</w:t>
      </w:r>
      <w:r w:rsidR="008762C0" w:rsidRPr="002E7FA0">
        <w:rPr>
          <w:rFonts w:ascii="Times New Roman" w:hAnsi="Times New Roman" w:cs="Times New Roman"/>
          <w:sz w:val="28"/>
          <w:szCs w:val="28"/>
        </w:rPr>
        <w:t>или) знаки визуального контроля</w:t>
      </w:r>
      <w:r w:rsidRPr="002E7FA0">
        <w:rPr>
          <w:rFonts w:ascii="Times New Roman" w:hAnsi="Times New Roman" w:cs="Times New Roman"/>
          <w:sz w:val="28"/>
          <w:szCs w:val="28"/>
        </w:rPr>
        <w:t>.</w:t>
      </w:r>
    </w:p>
    <w:p w:rsidR="00830CCF" w:rsidRPr="002E7FA0" w:rsidRDefault="00830CCF" w:rsidP="002E7FA0">
      <w:pPr>
        <w:widowControl w:val="0"/>
        <w:autoSpaceDE w:val="0"/>
        <w:autoSpaceDN w:val="0"/>
        <w:adjustRightInd w:val="0"/>
        <w:spacing w:after="0" w:line="288" w:lineRule="auto"/>
        <w:ind w:firstLine="539"/>
        <w:jc w:val="both"/>
        <w:rPr>
          <w:rFonts w:ascii="Times New Roman" w:hAnsi="Times New Roman" w:cs="Times New Roman"/>
          <w:sz w:val="28"/>
          <w:szCs w:val="28"/>
        </w:rPr>
      </w:pPr>
      <w:bookmarkStart w:id="1" w:name="Par844"/>
      <w:bookmarkEnd w:id="1"/>
      <w:r w:rsidRPr="002E7FA0">
        <w:rPr>
          <w:rFonts w:ascii="Times New Roman" w:hAnsi="Times New Roman" w:cs="Times New Roman"/>
          <w:sz w:val="28"/>
          <w:szCs w:val="28"/>
        </w:rPr>
        <w:t>Для учета электрической энергии, потребляемой гражданами, а также на границе раздела объектов электросетевого хозяйства и внутридомовых инженерных систем многоквартирного дома подлежат использованию приборы учета класса точности 2,0 и выше.</w:t>
      </w:r>
    </w:p>
    <w:p w:rsidR="00830CCF" w:rsidRPr="002E7FA0" w:rsidRDefault="00830CCF" w:rsidP="002E7FA0">
      <w:pPr>
        <w:widowControl w:val="0"/>
        <w:autoSpaceDE w:val="0"/>
        <w:autoSpaceDN w:val="0"/>
        <w:adjustRightInd w:val="0"/>
        <w:spacing w:after="0" w:line="288" w:lineRule="auto"/>
        <w:ind w:firstLine="539"/>
        <w:jc w:val="both"/>
        <w:rPr>
          <w:rFonts w:ascii="Times New Roman" w:hAnsi="Times New Roman" w:cs="Times New Roman"/>
          <w:sz w:val="28"/>
          <w:szCs w:val="28"/>
        </w:rPr>
      </w:pPr>
      <w:proofErr w:type="gramStart"/>
      <w:r w:rsidRPr="002E7FA0">
        <w:rPr>
          <w:rFonts w:ascii="Times New Roman" w:hAnsi="Times New Roman" w:cs="Times New Roman"/>
          <w:sz w:val="28"/>
          <w:szCs w:val="28"/>
        </w:rPr>
        <w:t xml:space="preserve">В многоквартирных домах, присоединение которых к объектам электросетевого хозяйства осуществляется после вступления в силу </w:t>
      </w:r>
      <w:r w:rsidR="008E2B07" w:rsidRPr="002E7FA0">
        <w:rPr>
          <w:rFonts w:ascii="Times New Roman" w:hAnsi="Times New Roman" w:cs="Times New Roman"/>
          <w:sz w:val="28"/>
          <w:szCs w:val="28"/>
        </w:rPr>
        <w:t>Основных</w:t>
      </w:r>
      <w:r w:rsidR="00AA71B9" w:rsidRPr="002E7FA0">
        <w:rPr>
          <w:rFonts w:ascii="Times New Roman" w:hAnsi="Times New Roman" w:cs="Times New Roman"/>
          <w:sz w:val="28"/>
          <w:szCs w:val="28"/>
        </w:rPr>
        <w:t xml:space="preserve"> </w:t>
      </w:r>
      <w:r w:rsidR="008E2B07" w:rsidRPr="002E7FA0">
        <w:rPr>
          <w:rFonts w:ascii="Times New Roman" w:hAnsi="Times New Roman" w:cs="Times New Roman"/>
          <w:sz w:val="28"/>
          <w:szCs w:val="28"/>
        </w:rPr>
        <w:t>положений</w:t>
      </w:r>
      <w:r w:rsidR="00AA71B9" w:rsidRPr="002E7FA0">
        <w:rPr>
          <w:rFonts w:ascii="Times New Roman" w:hAnsi="Times New Roman" w:cs="Times New Roman"/>
          <w:sz w:val="28"/>
          <w:szCs w:val="28"/>
        </w:rPr>
        <w:t xml:space="preserve"> функционирования розничных рынков электрической энергии, утвержденных постановлением </w:t>
      </w:r>
      <w:r w:rsidR="0015454F" w:rsidRPr="002E7FA0">
        <w:rPr>
          <w:rFonts w:ascii="Times New Roman" w:hAnsi="Times New Roman" w:cs="Times New Roman"/>
          <w:sz w:val="28"/>
          <w:szCs w:val="28"/>
        </w:rPr>
        <w:t>Правительства РФ от 04.05.2012 №</w:t>
      </w:r>
      <w:r w:rsidR="000F1C32" w:rsidRPr="002E7FA0">
        <w:rPr>
          <w:rFonts w:ascii="Times New Roman" w:hAnsi="Times New Roman" w:cs="Times New Roman"/>
          <w:sz w:val="28"/>
          <w:szCs w:val="28"/>
        </w:rPr>
        <w:t xml:space="preserve"> 442 «</w:t>
      </w:r>
      <w:r w:rsidR="0015454F" w:rsidRPr="002E7FA0">
        <w:rPr>
          <w:rFonts w:ascii="Times New Roman" w:hAnsi="Times New Roman" w:cs="Times New Roman"/>
          <w:sz w:val="28"/>
          <w:szCs w:val="28"/>
        </w:rPr>
        <w:t>О функционировании розничных рынков электрической энергии, полном и (или) частичном ограничении режима по</w:t>
      </w:r>
      <w:r w:rsidR="000F1C32" w:rsidRPr="002E7FA0">
        <w:rPr>
          <w:rFonts w:ascii="Times New Roman" w:hAnsi="Times New Roman" w:cs="Times New Roman"/>
          <w:sz w:val="28"/>
          <w:szCs w:val="28"/>
        </w:rPr>
        <w:t>требления электрической энергии»</w:t>
      </w:r>
      <w:r w:rsidR="001103BC" w:rsidRPr="002E7FA0">
        <w:rPr>
          <w:rFonts w:ascii="Times New Roman" w:hAnsi="Times New Roman" w:cs="Times New Roman"/>
          <w:sz w:val="28"/>
          <w:szCs w:val="28"/>
        </w:rPr>
        <w:t>,</w:t>
      </w:r>
      <w:r w:rsidR="0015454F" w:rsidRPr="002E7FA0">
        <w:rPr>
          <w:rFonts w:ascii="Times New Roman" w:hAnsi="Times New Roman" w:cs="Times New Roman"/>
          <w:sz w:val="28"/>
          <w:szCs w:val="28"/>
        </w:rPr>
        <w:t xml:space="preserve"> </w:t>
      </w:r>
      <w:r w:rsidRPr="002E7FA0">
        <w:rPr>
          <w:rFonts w:ascii="Times New Roman" w:hAnsi="Times New Roman" w:cs="Times New Roman"/>
          <w:sz w:val="28"/>
          <w:szCs w:val="28"/>
        </w:rPr>
        <w:t>на границе раздела объектов электросетевого хозяйства и внутридомовых инженерных систем подлежат установке коллективные (общедомовые) приборы учета класса</w:t>
      </w:r>
      <w:proofErr w:type="gramEnd"/>
      <w:r w:rsidRPr="002E7FA0">
        <w:rPr>
          <w:rFonts w:ascii="Times New Roman" w:hAnsi="Times New Roman" w:cs="Times New Roman"/>
          <w:sz w:val="28"/>
          <w:szCs w:val="28"/>
        </w:rPr>
        <w:t xml:space="preserve"> точности 1,0 и выше.</w:t>
      </w:r>
    </w:p>
    <w:p w:rsidR="00830CCF" w:rsidRPr="002E7FA0" w:rsidRDefault="00830CCF" w:rsidP="002E7FA0">
      <w:pPr>
        <w:widowControl w:val="0"/>
        <w:autoSpaceDE w:val="0"/>
        <w:autoSpaceDN w:val="0"/>
        <w:adjustRightInd w:val="0"/>
        <w:spacing w:after="0" w:line="288" w:lineRule="auto"/>
        <w:ind w:firstLine="539"/>
        <w:jc w:val="both"/>
        <w:rPr>
          <w:rFonts w:ascii="Times New Roman" w:hAnsi="Times New Roman" w:cs="Times New Roman"/>
          <w:sz w:val="28"/>
          <w:szCs w:val="28"/>
        </w:rPr>
      </w:pPr>
      <w:bookmarkStart w:id="2" w:name="Par846"/>
      <w:bookmarkEnd w:id="2"/>
      <w:proofErr w:type="gramStart"/>
      <w:r w:rsidRPr="002E7FA0">
        <w:rPr>
          <w:rFonts w:ascii="Times New Roman" w:hAnsi="Times New Roman" w:cs="Times New Roman"/>
          <w:sz w:val="28"/>
          <w:szCs w:val="28"/>
        </w:rPr>
        <w:t xml:space="preserve">Для учета электрической энергии, потребляемой потребителями, не указанными </w:t>
      </w:r>
      <w:r w:rsidR="00295168" w:rsidRPr="002E7FA0">
        <w:rPr>
          <w:rFonts w:ascii="Times New Roman" w:hAnsi="Times New Roman" w:cs="Times New Roman"/>
          <w:sz w:val="28"/>
          <w:szCs w:val="28"/>
        </w:rPr>
        <w:t>во втором и третьем абзацах настоящего раздела</w:t>
      </w:r>
      <w:r w:rsidRPr="002E7FA0">
        <w:rPr>
          <w:rFonts w:ascii="Times New Roman" w:hAnsi="Times New Roman" w:cs="Times New Roman"/>
          <w:sz w:val="28"/>
          <w:szCs w:val="28"/>
        </w:rPr>
        <w:t>, с максимальной мощностью менее 670 кВт, подлежат использованию приборы учета класса точности 1,0 и выше - для точек присоединения к объектам электросетевого хозяйства напряжением 35 кВ и ниже и класса точности 0,5S и выше - для точек присоединения к объектам электросетевого хозяйства напряжением 110 кВ и</w:t>
      </w:r>
      <w:proofErr w:type="gramEnd"/>
      <w:r w:rsidRPr="002E7FA0">
        <w:rPr>
          <w:rFonts w:ascii="Times New Roman" w:hAnsi="Times New Roman" w:cs="Times New Roman"/>
          <w:sz w:val="28"/>
          <w:szCs w:val="28"/>
        </w:rPr>
        <w:t xml:space="preserve"> выше.</w:t>
      </w:r>
    </w:p>
    <w:p w:rsidR="00830CCF" w:rsidRPr="002E7FA0" w:rsidRDefault="00830CCF" w:rsidP="002E7FA0">
      <w:pPr>
        <w:widowControl w:val="0"/>
        <w:autoSpaceDE w:val="0"/>
        <w:autoSpaceDN w:val="0"/>
        <w:adjustRightInd w:val="0"/>
        <w:spacing w:after="0" w:line="288" w:lineRule="auto"/>
        <w:ind w:firstLine="539"/>
        <w:jc w:val="both"/>
        <w:rPr>
          <w:rFonts w:ascii="Times New Roman" w:hAnsi="Times New Roman" w:cs="Times New Roman"/>
          <w:sz w:val="28"/>
          <w:szCs w:val="28"/>
        </w:rPr>
      </w:pPr>
      <w:r w:rsidRPr="002E7FA0">
        <w:rPr>
          <w:rFonts w:ascii="Times New Roman" w:hAnsi="Times New Roman" w:cs="Times New Roman"/>
          <w:sz w:val="28"/>
          <w:szCs w:val="28"/>
        </w:rPr>
        <w:t xml:space="preserve">Для учета электрической энергии, потребляемой потребителями с максимальной мощностью не менее 670 кВт, подлежат использованию приборы учета, позволяющие измерять почасовые объемы потребления электрической энергии, класса точности 0,5S и выше, обеспечивающие хранение данных о почасовых объемах потребления электрической энергии </w:t>
      </w:r>
      <w:proofErr w:type="gramStart"/>
      <w:r w:rsidRPr="002E7FA0">
        <w:rPr>
          <w:rFonts w:ascii="Times New Roman" w:hAnsi="Times New Roman" w:cs="Times New Roman"/>
          <w:sz w:val="28"/>
          <w:szCs w:val="28"/>
        </w:rPr>
        <w:t>за</w:t>
      </w:r>
      <w:proofErr w:type="gramEnd"/>
      <w:r w:rsidRPr="002E7FA0">
        <w:rPr>
          <w:rFonts w:ascii="Times New Roman" w:hAnsi="Times New Roman" w:cs="Times New Roman"/>
          <w:sz w:val="28"/>
          <w:szCs w:val="28"/>
        </w:rPr>
        <w:t xml:space="preserve"> последние 90 дней и более или включенные в систему учета.</w:t>
      </w:r>
    </w:p>
    <w:p w:rsidR="00830CCF" w:rsidRPr="002E7FA0" w:rsidRDefault="00830CCF" w:rsidP="002E7FA0">
      <w:pPr>
        <w:widowControl w:val="0"/>
        <w:autoSpaceDE w:val="0"/>
        <w:autoSpaceDN w:val="0"/>
        <w:adjustRightInd w:val="0"/>
        <w:spacing w:after="0" w:line="288" w:lineRule="auto"/>
        <w:ind w:firstLine="539"/>
        <w:jc w:val="both"/>
        <w:rPr>
          <w:rFonts w:ascii="Times New Roman" w:hAnsi="Times New Roman" w:cs="Times New Roman"/>
          <w:sz w:val="28"/>
          <w:szCs w:val="28"/>
        </w:rPr>
      </w:pPr>
      <w:proofErr w:type="gramStart"/>
      <w:r w:rsidRPr="002E7FA0">
        <w:rPr>
          <w:rFonts w:ascii="Times New Roman" w:hAnsi="Times New Roman" w:cs="Times New Roman"/>
          <w:sz w:val="28"/>
          <w:szCs w:val="28"/>
        </w:rPr>
        <w:t xml:space="preserve">Для учета реактивной мощности, потребляемой (производимой) </w:t>
      </w:r>
      <w:r w:rsidRPr="002E7FA0">
        <w:rPr>
          <w:rFonts w:ascii="Times New Roman" w:hAnsi="Times New Roman" w:cs="Times New Roman"/>
          <w:sz w:val="28"/>
          <w:szCs w:val="28"/>
        </w:rPr>
        <w:lastRenderedPageBreak/>
        <w:t xml:space="preserve">потребителями с максимальной мощностью не менее 670 кВт, в случае если в договоре оказания услуг по передаче электрической энергии, заключенном в отношении энергопринимающих устройств таких потребителей в соответствии с </w:t>
      </w:r>
      <w:hyperlink r:id="rId11" w:history="1">
        <w:r w:rsidRPr="002E7FA0">
          <w:rPr>
            <w:rFonts w:ascii="Times New Roman" w:hAnsi="Times New Roman" w:cs="Times New Roman"/>
            <w:sz w:val="28"/>
            <w:szCs w:val="28"/>
          </w:rPr>
          <w:t>Правилами</w:t>
        </w:r>
      </w:hyperlink>
      <w:r w:rsidRPr="002E7FA0">
        <w:rPr>
          <w:rFonts w:ascii="Times New Roman" w:hAnsi="Times New Roman" w:cs="Times New Roman"/>
          <w:sz w:val="28"/>
          <w:szCs w:val="28"/>
        </w:rPr>
        <w:t xml:space="preserve"> недискриминационного доступа к услугам по передаче электрической энергии и оказания этих услуг, имеется условие о соблюдении соотношения потребления активной и реактивной мощности, подлежат использованию</w:t>
      </w:r>
      <w:proofErr w:type="gramEnd"/>
      <w:r w:rsidRPr="002E7FA0">
        <w:rPr>
          <w:rFonts w:ascii="Times New Roman" w:hAnsi="Times New Roman" w:cs="Times New Roman"/>
          <w:sz w:val="28"/>
          <w:szCs w:val="28"/>
        </w:rPr>
        <w:t xml:space="preserve"> приборы учета, позволяющие учитывать реактивную мощность или совмещающие учет активной и реактивной мощности и измеряющие почасовые объемы потребления (производства) реактивной мощности. При этом указанные приборы учета должны иметь класс точности не ниже 2,0, но не более чем на одну ступень ниже класса точности используемых приборов учета, позволяющих определять активную мощность.</w:t>
      </w:r>
    </w:p>
    <w:p w:rsidR="00830CCF" w:rsidRPr="002E7FA0" w:rsidRDefault="00830CCF" w:rsidP="002E7FA0">
      <w:pPr>
        <w:widowControl w:val="0"/>
        <w:autoSpaceDE w:val="0"/>
        <w:autoSpaceDN w:val="0"/>
        <w:adjustRightInd w:val="0"/>
        <w:spacing w:after="0" w:line="288" w:lineRule="auto"/>
        <w:ind w:firstLine="539"/>
        <w:jc w:val="both"/>
        <w:rPr>
          <w:rFonts w:ascii="Times New Roman" w:hAnsi="Times New Roman" w:cs="Times New Roman"/>
          <w:sz w:val="28"/>
          <w:szCs w:val="28"/>
        </w:rPr>
      </w:pPr>
      <w:bookmarkStart w:id="3" w:name="Par852"/>
      <w:bookmarkEnd w:id="3"/>
      <w:proofErr w:type="gramStart"/>
      <w:r w:rsidRPr="002E7FA0">
        <w:rPr>
          <w:rFonts w:ascii="Times New Roman" w:hAnsi="Times New Roman" w:cs="Times New Roman"/>
          <w:sz w:val="28"/>
          <w:szCs w:val="28"/>
        </w:rPr>
        <w:t>Для учета объемов производства электрической энергии производителями электрической энергии (мощности) на розничных рынках подлежат использованию приборы учета, позволяющие измерять почасовые объемы производства электрической энергии, класса точности 0,5S и выше, обеспечивающие хранение данных о почасовых объемах производства электрической энергии (мощности) за последние 90 дней и более или включенные в систему учета.</w:t>
      </w:r>
      <w:proofErr w:type="gramEnd"/>
    </w:p>
    <w:p w:rsidR="00830CCF" w:rsidRPr="002E7FA0" w:rsidRDefault="00830CCF" w:rsidP="002E7FA0">
      <w:pPr>
        <w:widowControl w:val="0"/>
        <w:autoSpaceDE w:val="0"/>
        <w:autoSpaceDN w:val="0"/>
        <w:adjustRightInd w:val="0"/>
        <w:spacing w:after="0" w:line="288" w:lineRule="auto"/>
        <w:ind w:firstLine="539"/>
        <w:jc w:val="both"/>
        <w:rPr>
          <w:rFonts w:ascii="Times New Roman" w:hAnsi="Times New Roman" w:cs="Times New Roman"/>
          <w:sz w:val="28"/>
          <w:szCs w:val="28"/>
        </w:rPr>
      </w:pPr>
      <w:bookmarkStart w:id="4" w:name="Par855"/>
      <w:bookmarkEnd w:id="4"/>
      <w:proofErr w:type="gramStart"/>
      <w:r w:rsidRPr="002E7FA0">
        <w:rPr>
          <w:rFonts w:ascii="Times New Roman" w:hAnsi="Times New Roman" w:cs="Times New Roman"/>
          <w:sz w:val="28"/>
          <w:szCs w:val="28"/>
        </w:rPr>
        <w:t xml:space="preserve">Используемые на дату вступления в силу </w:t>
      </w:r>
      <w:r w:rsidR="00192B26" w:rsidRPr="002E7FA0">
        <w:rPr>
          <w:rFonts w:ascii="Times New Roman" w:hAnsi="Times New Roman" w:cs="Times New Roman"/>
          <w:sz w:val="28"/>
          <w:szCs w:val="28"/>
        </w:rPr>
        <w:t>Основных положений функционирования розничных рынков электрической энергии, утвержденных постановлением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w:t>
      </w:r>
      <w:r w:rsidR="007C2A5B" w:rsidRPr="002E7FA0">
        <w:rPr>
          <w:rFonts w:ascii="Times New Roman" w:hAnsi="Times New Roman" w:cs="Times New Roman"/>
          <w:sz w:val="28"/>
          <w:szCs w:val="28"/>
        </w:rPr>
        <w:t xml:space="preserve"> приборы учета </w:t>
      </w:r>
      <w:r w:rsidRPr="002E7FA0">
        <w:rPr>
          <w:rFonts w:ascii="Times New Roman" w:hAnsi="Times New Roman" w:cs="Times New Roman"/>
          <w:sz w:val="28"/>
          <w:szCs w:val="28"/>
        </w:rPr>
        <w:t>кла</w:t>
      </w:r>
      <w:r w:rsidR="00192B26" w:rsidRPr="002E7FA0">
        <w:rPr>
          <w:rFonts w:ascii="Times New Roman" w:hAnsi="Times New Roman" w:cs="Times New Roman"/>
          <w:sz w:val="28"/>
          <w:szCs w:val="28"/>
        </w:rPr>
        <w:t>сса точности ниже, чем указано в абзацах со второго по седьмой настоящего раздела</w:t>
      </w:r>
      <w:r w:rsidRPr="002E7FA0">
        <w:rPr>
          <w:rFonts w:ascii="Times New Roman" w:hAnsi="Times New Roman" w:cs="Times New Roman"/>
          <w:sz w:val="28"/>
          <w:szCs w:val="28"/>
        </w:rPr>
        <w:t>, и (или) обеспечивающие хранение данных о почасовых объемах потребления электрической</w:t>
      </w:r>
      <w:proofErr w:type="gramEnd"/>
      <w:r w:rsidRPr="002E7FA0">
        <w:rPr>
          <w:rFonts w:ascii="Times New Roman" w:hAnsi="Times New Roman" w:cs="Times New Roman"/>
          <w:sz w:val="28"/>
          <w:szCs w:val="28"/>
        </w:rPr>
        <w:t xml:space="preserve"> энергии меньшее количество дней, чем указано в </w:t>
      </w:r>
      <w:r w:rsidR="00192B26" w:rsidRPr="002E7FA0">
        <w:rPr>
          <w:rFonts w:ascii="Times New Roman" w:hAnsi="Times New Roman" w:cs="Times New Roman"/>
          <w:sz w:val="28"/>
          <w:szCs w:val="28"/>
        </w:rPr>
        <w:t>пятом и седьмом абзацах настоящего раздела</w:t>
      </w:r>
      <w:r w:rsidRPr="002E7FA0">
        <w:rPr>
          <w:rFonts w:ascii="Times New Roman" w:hAnsi="Times New Roman" w:cs="Times New Roman"/>
          <w:sz w:val="28"/>
          <w:szCs w:val="28"/>
        </w:rPr>
        <w:t xml:space="preserve">, могут быть использованы вплоть до </w:t>
      </w:r>
      <w:proofErr w:type="gramStart"/>
      <w:r w:rsidRPr="002E7FA0">
        <w:rPr>
          <w:rFonts w:ascii="Times New Roman" w:hAnsi="Times New Roman" w:cs="Times New Roman"/>
          <w:sz w:val="28"/>
          <w:szCs w:val="28"/>
        </w:rPr>
        <w:t>истечения</w:t>
      </w:r>
      <w:proofErr w:type="gramEnd"/>
      <w:r w:rsidRPr="002E7FA0">
        <w:rPr>
          <w:rFonts w:ascii="Times New Roman" w:hAnsi="Times New Roman" w:cs="Times New Roman"/>
          <w:sz w:val="28"/>
          <w:szCs w:val="28"/>
        </w:rPr>
        <w:t xml:space="preserve"> установленного для них межповерочного интервала либо до момента выхода таких приборов учета из строя или их утраты, если это произошло до истечения межповерочного интервала. По истечении межповерочного интервала либо после выхода приборов учета из строя или их утраты, если это произошло до истечения межповерочного интервала, такие приборы учета подлежат замене на приборы учета с характеристиками не хуже, чем указано </w:t>
      </w:r>
      <w:r w:rsidR="00192B26" w:rsidRPr="002E7FA0">
        <w:rPr>
          <w:rFonts w:ascii="Times New Roman" w:hAnsi="Times New Roman" w:cs="Times New Roman"/>
          <w:sz w:val="28"/>
          <w:szCs w:val="28"/>
        </w:rPr>
        <w:t>в абзацах со второго по седьмой настоящего раздела</w:t>
      </w:r>
      <w:r w:rsidRPr="002E7FA0">
        <w:rPr>
          <w:rFonts w:ascii="Times New Roman" w:hAnsi="Times New Roman" w:cs="Times New Roman"/>
          <w:sz w:val="28"/>
          <w:szCs w:val="28"/>
        </w:rPr>
        <w:t>.</w:t>
      </w:r>
    </w:p>
    <w:p w:rsidR="00D31B4C" w:rsidRPr="00AA3D48" w:rsidRDefault="00830CCF" w:rsidP="002E7FA0">
      <w:pPr>
        <w:widowControl w:val="0"/>
        <w:autoSpaceDE w:val="0"/>
        <w:autoSpaceDN w:val="0"/>
        <w:adjustRightInd w:val="0"/>
        <w:spacing w:after="0" w:line="288" w:lineRule="auto"/>
        <w:ind w:firstLine="539"/>
        <w:jc w:val="both"/>
        <w:rPr>
          <w:rFonts w:ascii="Times New Roman" w:hAnsi="Times New Roman" w:cs="Times New Roman"/>
          <w:sz w:val="24"/>
          <w:szCs w:val="24"/>
        </w:rPr>
      </w:pPr>
      <w:proofErr w:type="gramStart"/>
      <w:r w:rsidRPr="002E7FA0">
        <w:rPr>
          <w:rFonts w:ascii="Times New Roman" w:hAnsi="Times New Roman" w:cs="Times New Roman"/>
          <w:sz w:val="28"/>
          <w:szCs w:val="28"/>
        </w:rPr>
        <w:lastRenderedPageBreak/>
        <w:t>Приборы учета класса точности ниже, чем указано</w:t>
      </w:r>
      <w:r w:rsidR="000D33A3" w:rsidRPr="002E7FA0">
        <w:rPr>
          <w:rFonts w:ascii="Times New Roman" w:hAnsi="Times New Roman" w:cs="Times New Roman"/>
          <w:sz w:val="28"/>
          <w:szCs w:val="28"/>
        </w:rPr>
        <w:t xml:space="preserve"> во втором и третьем абзацах настоящего раздела</w:t>
      </w:r>
      <w:r w:rsidRPr="002E7FA0">
        <w:rPr>
          <w:rFonts w:ascii="Times New Roman" w:hAnsi="Times New Roman" w:cs="Times New Roman"/>
          <w:sz w:val="28"/>
          <w:szCs w:val="28"/>
        </w:rPr>
        <w:t xml:space="preserve">, используемые гражданами на дату вступления в силу </w:t>
      </w:r>
      <w:r w:rsidR="000D33A3" w:rsidRPr="002E7FA0">
        <w:rPr>
          <w:rFonts w:ascii="Times New Roman" w:hAnsi="Times New Roman" w:cs="Times New Roman"/>
          <w:sz w:val="28"/>
          <w:szCs w:val="28"/>
        </w:rPr>
        <w:t>Основных положений функционирования розничных рынков электрической энергии, утвержденных постановлением Правительства РФ от 04.05.2012 № 442 «О функционировании розничных рынков электрической энергии, полном и (или) частичном ограничении режима потребления электрической энергии»</w:t>
      </w:r>
      <w:r w:rsidRPr="002E7FA0">
        <w:rPr>
          <w:rFonts w:ascii="Times New Roman" w:hAnsi="Times New Roman" w:cs="Times New Roman"/>
          <w:sz w:val="28"/>
          <w:szCs w:val="28"/>
        </w:rPr>
        <w:t>, могут быть использованы ими вплоть до истечения установленного срока их</w:t>
      </w:r>
      <w:proofErr w:type="gramEnd"/>
      <w:r w:rsidRPr="002E7FA0">
        <w:rPr>
          <w:rFonts w:ascii="Times New Roman" w:hAnsi="Times New Roman" w:cs="Times New Roman"/>
          <w:sz w:val="28"/>
          <w:szCs w:val="28"/>
        </w:rPr>
        <w:t xml:space="preserve"> эксплуатации. По истечении установленного срока эксплуатации приборов учета такие приборы учета подлежат замене на приборы учета класса точности не ниже, чем указано </w:t>
      </w:r>
      <w:r w:rsidR="000D33A3" w:rsidRPr="002E7FA0">
        <w:rPr>
          <w:rFonts w:ascii="Times New Roman" w:hAnsi="Times New Roman" w:cs="Times New Roman"/>
          <w:sz w:val="28"/>
          <w:szCs w:val="28"/>
        </w:rPr>
        <w:t>во втором и третьем абзацах настоящего раздела</w:t>
      </w:r>
      <w:r w:rsidRPr="002E7FA0">
        <w:rPr>
          <w:rFonts w:ascii="Times New Roman" w:hAnsi="Times New Roman" w:cs="Times New Roman"/>
          <w:sz w:val="28"/>
          <w:szCs w:val="28"/>
        </w:rPr>
        <w:t>.</w:t>
      </w:r>
      <w:bookmarkStart w:id="5" w:name="Par857"/>
      <w:bookmarkEnd w:id="5"/>
    </w:p>
    <w:sectPr w:rsidR="00D31B4C" w:rsidRPr="00AA3D48" w:rsidSect="00EB75D6">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C9C27C7"/>
    <w:multiLevelType w:val="hybridMultilevel"/>
    <w:tmpl w:val="E690C7EC"/>
    <w:lvl w:ilvl="0" w:tplc="5D9ED99C">
      <w:numFmt w:val="bullet"/>
      <w:lvlText w:val=""/>
      <w:lvlJc w:val="left"/>
      <w:pPr>
        <w:ind w:left="927" w:hanging="360"/>
      </w:pPr>
      <w:rPr>
        <w:rFonts w:ascii="Symbol" w:eastAsiaTheme="minorHAnsi" w:hAnsi="Symbol" w:cs="Times New Roman" w:hint="default"/>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3A56B3"/>
    <w:rsid w:val="000014FB"/>
    <w:rsid w:val="0001100C"/>
    <w:rsid w:val="00020B82"/>
    <w:rsid w:val="00021EBA"/>
    <w:rsid w:val="000273EB"/>
    <w:rsid w:val="00032158"/>
    <w:rsid w:val="00033A2A"/>
    <w:rsid w:val="00050F38"/>
    <w:rsid w:val="00053EA7"/>
    <w:rsid w:val="00054391"/>
    <w:rsid w:val="00064FF5"/>
    <w:rsid w:val="00065DED"/>
    <w:rsid w:val="00066B1E"/>
    <w:rsid w:val="000703F9"/>
    <w:rsid w:val="00071E7F"/>
    <w:rsid w:val="00076CE0"/>
    <w:rsid w:val="00077C23"/>
    <w:rsid w:val="000817CB"/>
    <w:rsid w:val="00092C1F"/>
    <w:rsid w:val="00095A20"/>
    <w:rsid w:val="000A2CB0"/>
    <w:rsid w:val="000B46E9"/>
    <w:rsid w:val="000B619B"/>
    <w:rsid w:val="000C09D1"/>
    <w:rsid w:val="000C5905"/>
    <w:rsid w:val="000D1805"/>
    <w:rsid w:val="000D33A3"/>
    <w:rsid w:val="000D484D"/>
    <w:rsid w:val="000E41C9"/>
    <w:rsid w:val="000F1C32"/>
    <w:rsid w:val="000F7DCE"/>
    <w:rsid w:val="00102C00"/>
    <w:rsid w:val="00103FD5"/>
    <w:rsid w:val="00104940"/>
    <w:rsid w:val="001103BC"/>
    <w:rsid w:val="00114E97"/>
    <w:rsid w:val="00121712"/>
    <w:rsid w:val="0012186C"/>
    <w:rsid w:val="001223CE"/>
    <w:rsid w:val="00137A61"/>
    <w:rsid w:val="0015454F"/>
    <w:rsid w:val="00157DF8"/>
    <w:rsid w:val="00176756"/>
    <w:rsid w:val="00181573"/>
    <w:rsid w:val="00182DAB"/>
    <w:rsid w:val="00182FA2"/>
    <w:rsid w:val="00187B35"/>
    <w:rsid w:val="00192B26"/>
    <w:rsid w:val="001931AE"/>
    <w:rsid w:val="001A1B44"/>
    <w:rsid w:val="001C7F62"/>
    <w:rsid w:val="001D04F3"/>
    <w:rsid w:val="001D06EF"/>
    <w:rsid w:val="001D3F87"/>
    <w:rsid w:val="001E2C1B"/>
    <w:rsid w:val="001E5566"/>
    <w:rsid w:val="001E705F"/>
    <w:rsid w:val="001F08C1"/>
    <w:rsid w:val="001F2FF0"/>
    <w:rsid w:val="001F3136"/>
    <w:rsid w:val="001F3654"/>
    <w:rsid w:val="0020194D"/>
    <w:rsid w:val="0022067C"/>
    <w:rsid w:val="00223121"/>
    <w:rsid w:val="002327DE"/>
    <w:rsid w:val="00234843"/>
    <w:rsid w:val="00244841"/>
    <w:rsid w:val="00255E0F"/>
    <w:rsid w:val="00255E68"/>
    <w:rsid w:val="002601A8"/>
    <w:rsid w:val="0026637B"/>
    <w:rsid w:val="00271F9B"/>
    <w:rsid w:val="0027236D"/>
    <w:rsid w:val="00273506"/>
    <w:rsid w:val="00275522"/>
    <w:rsid w:val="00282DE7"/>
    <w:rsid w:val="002909BD"/>
    <w:rsid w:val="00295168"/>
    <w:rsid w:val="002A57A2"/>
    <w:rsid w:val="002A74AC"/>
    <w:rsid w:val="002B202B"/>
    <w:rsid w:val="002B4F19"/>
    <w:rsid w:val="002D17BF"/>
    <w:rsid w:val="002D5A0A"/>
    <w:rsid w:val="002E69C3"/>
    <w:rsid w:val="002E7FA0"/>
    <w:rsid w:val="002F0725"/>
    <w:rsid w:val="002F4FC2"/>
    <w:rsid w:val="002F7CA0"/>
    <w:rsid w:val="00303638"/>
    <w:rsid w:val="00304E73"/>
    <w:rsid w:val="003101BA"/>
    <w:rsid w:val="00312369"/>
    <w:rsid w:val="0031380A"/>
    <w:rsid w:val="00315387"/>
    <w:rsid w:val="00323051"/>
    <w:rsid w:val="00330DC5"/>
    <w:rsid w:val="0033369E"/>
    <w:rsid w:val="00342A97"/>
    <w:rsid w:val="003505C6"/>
    <w:rsid w:val="00355E4C"/>
    <w:rsid w:val="003734B8"/>
    <w:rsid w:val="00390109"/>
    <w:rsid w:val="003945E6"/>
    <w:rsid w:val="003A09E6"/>
    <w:rsid w:val="003A181B"/>
    <w:rsid w:val="003A3BD2"/>
    <w:rsid w:val="003A56B3"/>
    <w:rsid w:val="003B4478"/>
    <w:rsid w:val="003B60AE"/>
    <w:rsid w:val="003B70C8"/>
    <w:rsid w:val="003E4E77"/>
    <w:rsid w:val="003E5614"/>
    <w:rsid w:val="003F3CA9"/>
    <w:rsid w:val="003F46B6"/>
    <w:rsid w:val="003F6751"/>
    <w:rsid w:val="00410AF9"/>
    <w:rsid w:val="004120EA"/>
    <w:rsid w:val="00421510"/>
    <w:rsid w:val="00425E56"/>
    <w:rsid w:val="0042755F"/>
    <w:rsid w:val="004345FF"/>
    <w:rsid w:val="00434E08"/>
    <w:rsid w:val="004357F4"/>
    <w:rsid w:val="00436DC8"/>
    <w:rsid w:val="0043763A"/>
    <w:rsid w:val="00445B5A"/>
    <w:rsid w:val="00453AA9"/>
    <w:rsid w:val="00466052"/>
    <w:rsid w:val="0046794C"/>
    <w:rsid w:val="00467FDA"/>
    <w:rsid w:val="00470151"/>
    <w:rsid w:val="00471A68"/>
    <w:rsid w:val="004749D4"/>
    <w:rsid w:val="004855C0"/>
    <w:rsid w:val="00485F1F"/>
    <w:rsid w:val="0049130E"/>
    <w:rsid w:val="00491CF8"/>
    <w:rsid w:val="00493045"/>
    <w:rsid w:val="004931CC"/>
    <w:rsid w:val="004C3467"/>
    <w:rsid w:val="004D0168"/>
    <w:rsid w:val="004D02D0"/>
    <w:rsid w:val="004E029F"/>
    <w:rsid w:val="004E4991"/>
    <w:rsid w:val="004E6C4D"/>
    <w:rsid w:val="004F45D0"/>
    <w:rsid w:val="004F5C93"/>
    <w:rsid w:val="00510323"/>
    <w:rsid w:val="00512D18"/>
    <w:rsid w:val="00516B94"/>
    <w:rsid w:val="00527B29"/>
    <w:rsid w:val="00550178"/>
    <w:rsid w:val="005508FD"/>
    <w:rsid w:val="00561D4A"/>
    <w:rsid w:val="005705FC"/>
    <w:rsid w:val="00571A3A"/>
    <w:rsid w:val="00585861"/>
    <w:rsid w:val="00594C27"/>
    <w:rsid w:val="005A1AAD"/>
    <w:rsid w:val="005A22E5"/>
    <w:rsid w:val="005B085D"/>
    <w:rsid w:val="005D5EEA"/>
    <w:rsid w:val="005E23C6"/>
    <w:rsid w:val="005E3F47"/>
    <w:rsid w:val="005E48F2"/>
    <w:rsid w:val="005F3165"/>
    <w:rsid w:val="005F4FA8"/>
    <w:rsid w:val="005F63A1"/>
    <w:rsid w:val="00607E68"/>
    <w:rsid w:val="00620E07"/>
    <w:rsid w:val="006229F0"/>
    <w:rsid w:val="00623581"/>
    <w:rsid w:val="00624FF5"/>
    <w:rsid w:val="006268AE"/>
    <w:rsid w:val="00634B98"/>
    <w:rsid w:val="00634E7D"/>
    <w:rsid w:val="00643833"/>
    <w:rsid w:val="0064728A"/>
    <w:rsid w:val="006515FB"/>
    <w:rsid w:val="00672156"/>
    <w:rsid w:val="00675822"/>
    <w:rsid w:val="006852FC"/>
    <w:rsid w:val="006908DB"/>
    <w:rsid w:val="0069380A"/>
    <w:rsid w:val="0069485C"/>
    <w:rsid w:val="00697BB4"/>
    <w:rsid w:val="006B62C7"/>
    <w:rsid w:val="006C72CC"/>
    <w:rsid w:val="006D2D52"/>
    <w:rsid w:val="006E7BF9"/>
    <w:rsid w:val="006F4944"/>
    <w:rsid w:val="00702A6A"/>
    <w:rsid w:val="00705A88"/>
    <w:rsid w:val="00707201"/>
    <w:rsid w:val="00711938"/>
    <w:rsid w:val="0071248D"/>
    <w:rsid w:val="00720F24"/>
    <w:rsid w:val="00722D04"/>
    <w:rsid w:val="00724ED7"/>
    <w:rsid w:val="0072653C"/>
    <w:rsid w:val="00731D1E"/>
    <w:rsid w:val="0073232B"/>
    <w:rsid w:val="00736DAF"/>
    <w:rsid w:val="0073748C"/>
    <w:rsid w:val="007379F7"/>
    <w:rsid w:val="007438CE"/>
    <w:rsid w:val="0075037F"/>
    <w:rsid w:val="00751E51"/>
    <w:rsid w:val="00755A42"/>
    <w:rsid w:val="0076303E"/>
    <w:rsid w:val="0076552C"/>
    <w:rsid w:val="0076601F"/>
    <w:rsid w:val="0077378F"/>
    <w:rsid w:val="00782058"/>
    <w:rsid w:val="00790FF8"/>
    <w:rsid w:val="0079225A"/>
    <w:rsid w:val="007A0A12"/>
    <w:rsid w:val="007A179A"/>
    <w:rsid w:val="007A56A7"/>
    <w:rsid w:val="007C0118"/>
    <w:rsid w:val="007C0D4C"/>
    <w:rsid w:val="007C26FA"/>
    <w:rsid w:val="007C2A5B"/>
    <w:rsid w:val="007C673D"/>
    <w:rsid w:val="007D29B9"/>
    <w:rsid w:val="007D4F51"/>
    <w:rsid w:val="007D7E99"/>
    <w:rsid w:val="007F0B7F"/>
    <w:rsid w:val="007F16C0"/>
    <w:rsid w:val="0080289A"/>
    <w:rsid w:val="008125C5"/>
    <w:rsid w:val="00830CCF"/>
    <w:rsid w:val="0083284B"/>
    <w:rsid w:val="00833217"/>
    <w:rsid w:val="0084391E"/>
    <w:rsid w:val="00843C70"/>
    <w:rsid w:val="00854AF3"/>
    <w:rsid w:val="008762C0"/>
    <w:rsid w:val="00880FBE"/>
    <w:rsid w:val="00881C66"/>
    <w:rsid w:val="00887A3B"/>
    <w:rsid w:val="00890A3F"/>
    <w:rsid w:val="008B509E"/>
    <w:rsid w:val="008B5381"/>
    <w:rsid w:val="008B658E"/>
    <w:rsid w:val="008B77E6"/>
    <w:rsid w:val="008C70EF"/>
    <w:rsid w:val="008E128B"/>
    <w:rsid w:val="008E2B07"/>
    <w:rsid w:val="008F41EF"/>
    <w:rsid w:val="008F732D"/>
    <w:rsid w:val="009021AC"/>
    <w:rsid w:val="009043B6"/>
    <w:rsid w:val="009056B4"/>
    <w:rsid w:val="009065DB"/>
    <w:rsid w:val="00914B5C"/>
    <w:rsid w:val="00927B3C"/>
    <w:rsid w:val="0093260E"/>
    <w:rsid w:val="00935334"/>
    <w:rsid w:val="009377F6"/>
    <w:rsid w:val="00941127"/>
    <w:rsid w:val="00941EBA"/>
    <w:rsid w:val="00945374"/>
    <w:rsid w:val="00947793"/>
    <w:rsid w:val="00953949"/>
    <w:rsid w:val="00966276"/>
    <w:rsid w:val="009809C9"/>
    <w:rsid w:val="009A0072"/>
    <w:rsid w:val="009A4C23"/>
    <w:rsid w:val="009B78EB"/>
    <w:rsid w:val="009C6B33"/>
    <w:rsid w:val="009D424C"/>
    <w:rsid w:val="009E0BB2"/>
    <w:rsid w:val="009E306F"/>
    <w:rsid w:val="009E3BC6"/>
    <w:rsid w:val="009E6ACD"/>
    <w:rsid w:val="009E7B6B"/>
    <w:rsid w:val="009F0530"/>
    <w:rsid w:val="009F48D2"/>
    <w:rsid w:val="00A03FBB"/>
    <w:rsid w:val="00A049E7"/>
    <w:rsid w:val="00A061BB"/>
    <w:rsid w:val="00A07FA8"/>
    <w:rsid w:val="00A1343E"/>
    <w:rsid w:val="00A20963"/>
    <w:rsid w:val="00A23E62"/>
    <w:rsid w:val="00A25148"/>
    <w:rsid w:val="00A26C7C"/>
    <w:rsid w:val="00A33464"/>
    <w:rsid w:val="00A41E31"/>
    <w:rsid w:val="00A5679C"/>
    <w:rsid w:val="00A57957"/>
    <w:rsid w:val="00A6445C"/>
    <w:rsid w:val="00A64DEA"/>
    <w:rsid w:val="00A670BB"/>
    <w:rsid w:val="00A71957"/>
    <w:rsid w:val="00A81621"/>
    <w:rsid w:val="00A91DA7"/>
    <w:rsid w:val="00A92C5A"/>
    <w:rsid w:val="00AA07CF"/>
    <w:rsid w:val="00AA3D48"/>
    <w:rsid w:val="00AA71B9"/>
    <w:rsid w:val="00AB50A4"/>
    <w:rsid w:val="00AB7E82"/>
    <w:rsid w:val="00AC0EF1"/>
    <w:rsid w:val="00AC22BC"/>
    <w:rsid w:val="00AD041B"/>
    <w:rsid w:val="00AD14F1"/>
    <w:rsid w:val="00AD5C06"/>
    <w:rsid w:val="00AD5FFF"/>
    <w:rsid w:val="00AD74E8"/>
    <w:rsid w:val="00AE65AE"/>
    <w:rsid w:val="00AE6B65"/>
    <w:rsid w:val="00AF4A6D"/>
    <w:rsid w:val="00B0245E"/>
    <w:rsid w:val="00B07572"/>
    <w:rsid w:val="00B15323"/>
    <w:rsid w:val="00B203C4"/>
    <w:rsid w:val="00B25476"/>
    <w:rsid w:val="00B259B8"/>
    <w:rsid w:val="00B27EF9"/>
    <w:rsid w:val="00B34334"/>
    <w:rsid w:val="00B37F81"/>
    <w:rsid w:val="00B44F16"/>
    <w:rsid w:val="00B511CD"/>
    <w:rsid w:val="00B53566"/>
    <w:rsid w:val="00B61CC8"/>
    <w:rsid w:val="00B62193"/>
    <w:rsid w:val="00B63865"/>
    <w:rsid w:val="00B65182"/>
    <w:rsid w:val="00B703F9"/>
    <w:rsid w:val="00B7745B"/>
    <w:rsid w:val="00B83654"/>
    <w:rsid w:val="00B921B0"/>
    <w:rsid w:val="00B947FE"/>
    <w:rsid w:val="00B962AD"/>
    <w:rsid w:val="00B967BB"/>
    <w:rsid w:val="00BA47E9"/>
    <w:rsid w:val="00BA74DC"/>
    <w:rsid w:val="00BB0E59"/>
    <w:rsid w:val="00BB150C"/>
    <w:rsid w:val="00BB427E"/>
    <w:rsid w:val="00BD6AB9"/>
    <w:rsid w:val="00BF2317"/>
    <w:rsid w:val="00BF696A"/>
    <w:rsid w:val="00BF6FB2"/>
    <w:rsid w:val="00BF7679"/>
    <w:rsid w:val="00C10685"/>
    <w:rsid w:val="00C22D7B"/>
    <w:rsid w:val="00C33ABA"/>
    <w:rsid w:val="00C44125"/>
    <w:rsid w:val="00C51AD4"/>
    <w:rsid w:val="00C62FAC"/>
    <w:rsid w:val="00C8317F"/>
    <w:rsid w:val="00C931F2"/>
    <w:rsid w:val="00CA0983"/>
    <w:rsid w:val="00CA3CAC"/>
    <w:rsid w:val="00CB1BA2"/>
    <w:rsid w:val="00CC0872"/>
    <w:rsid w:val="00CC5AC3"/>
    <w:rsid w:val="00CC7144"/>
    <w:rsid w:val="00CD2564"/>
    <w:rsid w:val="00CD439E"/>
    <w:rsid w:val="00CE6602"/>
    <w:rsid w:val="00CE7F9E"/>
    <w:rsid w:val="00CF0F38"/>
    <w:rsid w:val="00D0303B"/>
    <w:rsid w:val="00D0314F"/>
    <w:rsid w:val="00D06899"/>
    <w:rsid w:val="00D07B88"/>
    <w:rsid w:val="00D1096B"/>
    <w:rsid w:val="00D138AA"/>
    <w:rsid w:val="00D31B4C"/>
    <w:rsid w:val="00D335B5"/>
    <w:rsid w:val="00D366DB"/>
    <w:rsid w:val="00D36CC7"/>
    <w:rsid w:val="00D3798D"/>
    <w:rsid w:val="00D46EF6"/>
    <w:rsid w:val="00D50FA2"/>
    <w:rsid w:val="00D539EA"/>
    <w:rsid w:val="00D56F39"/>
    <w:rsid w:val="00D60DB7"/>
    <w:rsid w:val="00D632CF"/>
    <w:rsid w:val="00D6743F"/>
    <w:rsid w:val="00D71D65"/>
    <w:rsid w:val="00D72AD8"/>
    <w:rsid w:val="00D74DF2"/>
    <w:rsid w:val="00D876D3"/>
    <w:rsid w:val="00D8776E"/>
    <w:rsid w:val="00D95EBE"/>
    <w:rsid w:val="00DA29FB"/>
    <w:rsid w:val="00DA2C56"/>
    <w:rsid w:val="00DA32EE"/>
    <w:rsid w:val="00DA78D1"/>
    <w:rsid w:val="00DB0CC9"/>
    <w:rsid w:val="00DB417E"/>
    <w:rsid w:val="00DB5392"/>
    <w:rsid w:val="00DB5E44"/>
    <w:rsid w:val="00DC71B2"/>
    <w:rsid w:val="00DD40A5"/>
    <w:rsid w:val="00DD434A"/>
    <w:rsid w:val="00DD4F64"/>
    <w:rsid w:val="00DD56FE"/>
    <w:rsid w:val="00DF3975"/>
    <w:rsid w:val="00DF735B"/>
    <w:rsid w:val="00E01A54"/>
    <w:rsid w:val="00E052BE"/>
    <w:rsid w:val="00E05495"/>
    <w:rsid w:val="00E055C8"/>
    <w:rsid w:val="00E12089"/>
    <w:rsid w:val="00E12DFF"/>
    <w:rsid w:val="00E15C41"/>
    <w:rsid w:val="00E17F4C"/>
    <w:rsid w:val="00E238BA"/>
    <w:rsid w:val="00E34161"/>
    <w:rsid w:val="00E549B5"/>
    <w:rsid w:val="00E8112A"/>
    <w:rsid w:val="00E844B0"/>
    <w:rsid w:val="00E92B35"/>
    <w:rsid w:val="00EA52C6"/>
    <w:rsid w:val="00EB75D6"/>
    <w:rsid w:val="00EC02F9"/>
    <w:rsid w:val="00EC1664"/>
    <w:rsid w:val="00EC42B7"/>
    <w:rsid w:val="00EC46A4"/>
    <w:rsid w:val="00ED1308"/>
    <w:rsid w:val="00ED203C"/>
    <w:rsid w:val="00ED2FFB"/>
    <w:rsid w:val="00ED49A2"/>
    <w:rsid w:val="00EF0FD7"/>
    <w:rsid w:val="00EF4303"/>
    <w:rsid w:val="00EF5D26"/>
    <w:rsid w:val="00EF61F0"/>
    <w:rsid w:val="00F0215D"/>
    <w:rsid w:val="00F140EA"/>
    <w:rsid w:val="00F23DE7"/>
    <w:rsid w:val="00F2437D"/>
    <w:rsid w:val="00F31531"/>
    <w:rsid w:val="00F35C5C"/>
    <w:rsid w:val="00F36CF0"/>
    <w:rsid w:val="00F37C8B"/>
    <w:rsid w:val="00F4273D"/>
    <w:rsid w:val="00F4331A"/>
    <w:rsid w:val="00F450E7"/>
    <w:rsid w:val="00F47C36"/>
    <w:rsid w:val="00F536D6"/>
    <w:rsid w:val="00F544C2"/>
    <w:rsid w:val="00F57844"/>
    <w:rsid w:val="00F57F8B"/>
    <w:rsid w:val="00F610D8"/>
    <w:rsid w:val="00F61302"/>
    <w:rsid w:val="00F65415"/>
    <w:rsid w:val="00F67AE8"/>
    <w:rsid w:val="00F73EAA"/>
    <w:rsid w:val="00F75415"/>
    <w:rsid w:val="00F7784D"/>
    <w:rsid w:val="00F82B98"/>
    <w:rsid w:val="00FA439B"/>
    <w:rsid w:val="00FB1725"/>
    <w:rsid w:val="00FC2E5F"/>
    <w:rsid w:val="00FC4640"/>
    <w:rsid w:val="00FD170B"/>
    <w:rsid w:val="00FD3FA9"/>
    <w:rsid w:val="00FE361B"/>
    <w:rsid w:val="00FF10D4"/>
    <w:rsid w:val="00FF14F6"/>
    <w:rsid w:val="00FF646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30CCF"/>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2327D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Balloon Text"/>
    <w:basedOn w:val="a"/>
    <w:link w:val="a5"/>
    <w:uiPriority w:val="99"/>
    <w:semiHidden/>
    <w:unhideWhenUsed/>
    <w:rsid w:val="002327DE"/>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2327DE"/>
    <w:rPr>
      <w:rFonts w:ascii="Tahoma" w:hAnsi="Tahoma" w:cs="Tahoma"/>
      <w:sz w:val="16"/>
      <w:szCs w:val="16"/>
    </w:rPr>
  </w:style>
  <w:style w:type="paragraph" w:customStyle="1" w:styleId="Default">
    <w:name w:val="Default"/>
    <w:rsid w:val="00D36CC7"/>
    <w:pPr>
      <w:autoSpaceDE w:val="0"/>
      <w:autoSpaceDN w:val="0"/>
      <w:adjustRightInd w:val="0"/>
      <w:spacing w:after="0" w:line="240" w:lineRule="auto"/>
    </w:pPr>
    <w:rPr>
      <w:rFonts w:ascii="Times New Roman"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emf"/><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emf"/><Relationship Id="rId11" Type="http://schemas.openxmlformats.org/officeDocument/2006/relationships/hyperlink" Target="consultantplus://offline/ref=C04E65864D224168F66B1ECEBC5270EA58C1D2D418F82023656BD47F9B852DE528FEBEF08E886BE7z7QFI" TargetMode="External"/><Relationship Id="rId5" Type="http://schemas.openxmlformats.org/officeDocument/2006/relationships/webSettings" Target="webSettings.xml"/><Relationship Id="rId10" Type="http://schemas.openxmlformats.org/officeDocument/2006/relationships/image" Target="media/image5.emf"/><Relationship Id="rId4" Type="http://schemas.openxmlformats.org/officeDocument/2006/relationships/settings" Target="settings.xml"/><Relationship Id="rId9" Type="http://schemas.openxmlformats.org/officeDocument/2006/relationships/image" Target="media/image4.em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1FC45E-C418-4A5D-8CB6-4A98311A1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479</TotalTime>
  <Pages>9</Pages>
  <Words>1973</Words>
  <Characters>11248</Characters>
  <Application>Microsoft Office Word</Application>
  <DocSecurity>0</DocSecurity>
  <Lines>93</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OAO TE</Company>
  <LinksUpToDate>false</LinksUpToDate>
  <CharactersWithSpaces>13195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MyasnikovM</dc:creator>
  <cp:keywords/>
  <dc:description/>
  <cp:lastModifiedBy>MushkarovAV</cp:lastModifiedBy>
  <cp:revision>113</cp:revision>
  <cp:lastPrinted>2013-10-14T08:51:00Z</cp:lastPrinted>
  <dcterms:created xsi:type="dcterms:W3CDTF">2013-10-07T06:30:00Z</dcterms:created>
  <dcterms:modified xsi:type="dcterms:W3CDTF">2018-02-20T06:54:00Z</dcterms:modified>
</cp:coreProperties>
</file>